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ook w:firstColumn="1" w:firstRow="1" w:lastColumn="0" w:lastRow="0" w:noHBand="0" w:noVBand="1" w:val="04A0"/>
        <w:tblW w:w="0" w:type="auto"/>
      </w:tblPr>
      <w:tblGrid>
        <w:gridCol w:w="9792"/>
      </w:tblGrid>
      <w:tr>
        <w:trPr>
          <w:trHeight w:val="503" w:hRule="exact"/>
        </w:trPr>
        <w:tc>
          <w:tcPr>
            <w:tcW w:type="dxa" w:w="9792"/>
            <w:shd w:val="clear" w:color="auto" w:fill="1A2E4A"/>
          </w:tcPr>
          <w:p>
            <w:pPr>
              <w:spacing w:before="0" w:after="0"/>
            </w:pPr>
          </w:p>
        </w:tc>
      </w:tr>
    </w:tbl>
    <w:p/>
    <w:p>
      <w:pPr>
        <w:spacing w:before="80" w:after="40"/>
        <w:jc w:val="center"/>
      </w:pPr>
      <w:r>
        <w:rPr>
          <w:rFonts w:ascii="Calibri" w:hAnsi="Calibri"/>
          <w:b/>
          <w:i w:val="0"/>
          <w:color w:val="1A2E4A"/>
          <w:sz w:val="36"/>
        </w:rPr>
        <w:t>PROPERTY TAX RELIEF IS COMING TO SOUTH DAKOTA</w:t>
      </w:r>
    </w:p>
    <w:p>
      <w:pPr>
        <w:spacing w:before="0" w:after="40"/>
        <w:jc w:val="center"/>
      </w:pPr>
      <w:r>
        <w:rPr>
          <w:rFonts w:ascii="Calibri" w:hAnsi="Calibri"/>
          <w:b w:val="0"/>
          <w:i/>
          <w:color w:val="505A68"/>
          <w:sz w:val="24"/>
        </w:rPr>
        <w:t>What Every Custer County Homeowner Needs to Know — and Why the Timing Matters</w:t>
      </w:r>
    </w:p>
    <w:p>
      <w:pPr>
        <w:spacing w:after="40"/>
        <w:jc w:val="center"/>
      </w:pPr>
      <w:r>
        <w:rPr>
          <w:rFonts w:ascii="Calibri" w:hAnsi="Calibri"/>
          <w:b w:val="0"/>
          <w:i/>
          <w:color w:val="505A68"/>
          <w:sz w:val="20"/>
        </w:rPr>
        <w:t>A Plain-English Explanation of SB 245 and SB 96  |  Prepared April 2026</w:t>
      </w:r>
    </w:p>
    <w:tbl>
      <w:tblPr>
        <w:tblW w:type="auto" w:w="0"/>
        <w:jc w:val="left"/>
        <w:tblLook w:firstColumn="1" w:firstRow="1" w:lastColumn="0" w:lastRow="0" w:noHBand="0" w:noVBand="1" w:val="04A0"/>
        <w:tblW w:w="0" w:type="auto"/>
      </w:tblPr>
      <w:tblGrid>
        <w:gridCol w:w="9792"/>
      </w:tblGrid>
      <w:tr>
        <w:trPr>
          <w:trHeight w:val="115" w:hRule="exact"/>
        </w:trPr>
        <w:tc>
          <w:tcPr>
            <w:tcW w:type="dxa" w:w="9792"/>
            <w:shd w:val="clear" w:color="auto" w:fill="1F61AC"/>
          </w:tcPr>
          <w:p>
            <w:pPr>
              <w:spacing w:before="0" w:after="0"/>
            </w:pPr>
          </w:p>
        </w:tc>
      </w:tr>
    </w:tbl>
    <w:p/>
    <w:p/>
    <w:tbl>
      <w:tblPr>
        <w:tblW w:type="auto" w:w="0"/>
        <w:jc w:val="left"/>
        <w:tblLook w:firstColumn="1" w:firstRow="1" w:lastColumn="0" w:lastRow="0" w:noHBand="0" w:noVBand="1" w:val="04A0"/>
        <w:tblW w:w="0" w:type="auto"/>
      </w:tblPr>
      <w:tblGrid>
        <w:gridCol w:w="9792"/>
      </w:tblGrid>
      <w:tr>
        <w:tc>
          <w:tcPr>
            <w:tcW w:type="dxa" w:w="9792"/>
            <w:shd w:val="clear" w:color="auto" w:fill="F4F5F7"/>
            <w:tcBorders>
              <w:top w:val="single" w:sz="8" w:space="0" w:color="D0D5DD"/>
              <w:left w:val="single" w:sz="8" w:space="0" w:color="D0D5DD"/>
              <w:bottom w:val="single" w:sz="8" w:space="0" w:color="D0D5DD"/>
              <w:right w:val="single" w:sz="8" w:space="0" w:color="D0D5DD"/>
            </w:tcBorders>
          </w:tcPr>
          <w:p>
            <w:pPr>
              <w:spacing w:before="80"/>
              <w:ind w:left="144"/>
            </w:pPr>
            <w:r>
              <w:rPr>
                <w:rFonts w:ascii="Calibri" w:hAnsi="Calibri"/>
                <w:b/>
                <w:i w:val="0"/>
                <w:color w:val="1A2E4A"/>
                <w:sz w:val="18"/>
              </w:rPr>
              <w:t>WHERE THIS INFORMATION COMES FROM</w:t>
            </w:r>
          </w:p>
          <w:p>
            <w:pPr>
              <w:spacing w:before="20" w:after="40"/>
              <w:ind w:left="144"/>
            </w:pPr>
            <w:r>
              <w:rPr>
                <w:rFonts w:ascii="Calibri" w:hAnsi="Calibri"/>
                <w:b w:val="0"/>
                <w:i w:val="0"/>
                <w:color w:val="505A68"/>
                <w:sz w:val="18"/>
              </w:rPr>
              <w:t>This document draws on three public sources:</w:t>
            </w:r>
          </w:p>
          <w:p>
            <w:pPr>
              <w:spacing w:before="20" w:after="40"/>
              <w:ind w:left="144"/>
            </w:pPr>
            <w:r>
              <w:rPr>
                <w:rFonts w:ascii="Calibri" w:hAnsi="Calibri"/>
                <w:b w:val="0"/>
                <w:i w:val="0"/>
                <w:color w:val="505A68"/>
                <w:sz w:val="18"/>
              </w:rPr>
              <w:t>1. South Dakota Legislature — SB 245 and SB 96, signed into law March 12, 2026 by Governor Larry Rhoden. Full text at sdlegislature.gov.</w:t>
            </w:r>
          </w:p>
          <w:p>
            <w:pPr>
              <w:spacing w:before="20" w:after="40"/>
              <w:ind w:left="144"/>
            </w:pPr>
            <w:r>
              <w:rPr>
                <w:rFonts w:ascii="Calibri" w:hAnsi="Calibri"/>
                <w:b w:val="0"/>
                <w:i w:val="0"/>
                <w:color w:val="505A68"/>
                <w:sz w:val="18"/>
              </w:rPr>
              <w:t>2. Custer County Commission Meeting Minutes (2018–2026) — official public records available at custercountysd.com/commission-minutes/. These minutes have been digitized and indexed into a searchable database at SEAL SD (sealsd.com), where any resident can search them for free.</w:t>
            </w:r>
          </w:p>
          <w:p>
            <w:pPr>
              <w:spacing w:before="20" w:after="40"/>
              <w:ind w:left="144"/>
            </w:pPr>
            <w:r>
              <w:rPr>
                <w:rFonts w:ascii="Calibri" w:hAnsi="Calibri"/>
                <w:b w:val="0"/>
                <w:i w:val="0"/>
                <w:color w:val="505A68"/>
                <w:sz w:val="18"/>
              </w:rPr>
              <w:t>3. Published reporting from South Dakota Searchlight, SDPB, KOTA TV, and Dakota News Now, March 2026.</w:t>
            </w:r>
          </w:p>
          <w:p>
            <w:pPr>
              <w:spacing w:before="20" w:after="40"/>
              <w:ind w:left="144"/>
            </w:pPr>
            <w:r>
              <w:rPr>
                <w:rFonts w:ascii="Calibri" w:hAnsi="Calibri"/>
                <w:b w:val="0"/>
                <w:i w:val="0"/>
                <w:color w:val="505A68"/>
                <w:sz w:val="18"/>
              </w:rPr>
              <w:t>All figures cited are drawn from official government documents or verified news reporting. This document contains no opinion polling and no partisan projections.</w:t>
            </w:r>
          </w:p>
          <w:p>
            <w:pPr>
              <w:spacing w:after="40"/>
            </w:pPr>
          </w:p>
        </w:tc>
      </w:tr>
    </w:tbl>
    <w:p/>
    <w:tbl>
      <w:tblPr>
        <w:tblW w:type="auto" w:w="0"/>
        <w:jc w:val="left"/>
        <w:tblLook w:firstColumn="1" w:firstRow="1" w:lastColumn="0" w:lastRow="0" w:noHBand="0" w:noVBand="1" w:val="04A0"/>
        <w:tblW w:w="0" w:type="auto"/>
      </w:tblPr>
      <w:tblGrid>
        <w:gridCol w:w="9792"/>
      </w:tblGrid>
      <w:tr>
        <w:trPr>
          <w:trHeight w:val="216" w:hRule="exact"/>
        </w:trPr>
        <w:tc>
          <w:tcPr>
            <w:tcW w:type="dxa" w:w="9792"/>
            <w:shd w:val="clear" w:color="auto" w:fill="1A2E4A"/>
          </w:tcPr>
          <w:p>
            <w:pPr>
              <w:spacing w:before="0" w:after="0"/>
            </w:pPr>
          </w:p>
        </w:tc>
      </w:tr>
    </w:tbl>
    <w:p/>
    <w:p>
      <w:pPr>
        <w:spacing w:before="40" w:after="80"/>
      </w:pP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1  |  THE SHORT VERSION — READ THIS FIRST</w:t>
            </w:r>
          </w:p>
        </w:tc>
      </w:tr>
    </w:tbl>
    <w:p/>
    <w:tbl>
      <w:tblPr>
        <w:tblW w:type="auto" w:w="0"/>
        <w:jc w:val="left"/>
        <w:tblLook w:firstColumn="1" w:firstRow="1" w:lastColumn="0" w:lastRow="0" w:noHBand="0" w:noVBand="1" w:val="04A0"/>
        <w:tblW w:w="0" w:type="auto"/>
      </w:tblPr>
      <w:tblGrid>
        <w:gridCol w:w="9792"/>
      </w:tblGrid>
      <w:tr>
        <w:tc>
          <w:tcPr>
            <w:tcW w:type="dxa" w:w="9792"/>
            <w:shd w:val="clear" w:color="auto" w:fill="E8EDF5"/>
            <w:tcBorders>
              <w:top w:val="single" w:sz="12" w:space="0" w:color="1F61AC"/>
              <w:left w:val="single" w:sz="12" w:space="0" w:color="1F61AC"/>
              <w:bottom w:val="single" w:sz="12" w:space="0" w:color="1F61AC"/>
              <w:right w:val="single" w:sz="12" w:space="0" w:color="1F61AC"/>
            </w:tcBorders>
          </w:tcPr>
          <w:p>
            <w:pPr>
              <w:spacing w:before="80"/>
              <w:ind w:left="144"/>
            </w:pPr>
            <w:r>
              <w:rPr>
                <w:rFonts w:ascii="Calibri" w:hAnsi="Calibri"/>
                <w:b/>
                <w:i w:val="0"/>
                <w:color w:val="1A2E4A"/>
                <w:sz w:val="21"/>
              </w:rPr>
              <w:t>THE BOTTOM LINE</w:t>
            </w:r>
          </w:p>
          <w:p>
            <w:pPr>
              <w:spacing w:before="20" w:after="20"/>
              <w:ind w:left="144"/>
            </w:pPr>
            <w:r>
              <w:rPr>
                <w:rFonts w:ascii="Calibri" w:hAnsi="Calibri"/>
                <w:b w:val="0"/>
                <w:i w:val="0"/>
                <w:color w:val="1A1A1A"/>
                <w:sz w:val="21"/>
              </w:rPr>
              <w:t>On March 12, 2026, Governor Larry Rhoden signed two bills into law — SB 245 and SB 96 — described by the Governor as 'the largest property tax cut in South Dakota history.'</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If you own your home in Custer County, relief is on the way. Starting July 1, 2026, you will see a credit on your property tax bill — an average of up to 15% statewide.</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On top of that, Custer County can use SB 96 to implement a local sales tax that would cut your property taxes even further — an option the county commission controls directly.</w:t>
            </w:r>
          </w:p>
          <w:p>
            <w:pPr>
              <w:spacing w:before="20" w:after="20"/>
              <w:ind w:left="144"/>
            </w:pPr>
            <w:r>
              <w:rPr>
                <w:rFonts w:ascii="Calibri" w:hAnsi="Calibri"/>
                <w:b w:val="0"/>
                <w:i w:val="0"/>
                <w:color w:val="1A1A1A"/>
                <w:sz w:val="21"/>
              </w:rPr>
            </w:r>
          </w:p>
          <w:p>
            <w:pPr>
              <w:spacing w:before="20" w:after="20"/>
              <w:ind w:left="144"/>
            </w:pPr>
            <w:r>
              <w:rPr>
                <w:rFonts w:ascii="Calibri" w:hAnsi="Calibri"/>
                <w:b w:val="0"/>
                <w:i w:val="0"/>
                <w:color w:val="1A1A1A"/>
                <w:sz w:val="21"/>
              </w:rPr>
              <w:t>Here is the problem: while state relief is arriving, Custer County is simultaneously pursuing a new Fire Protection Opt-Out levy that would add to your property tax bill. You could gain relief from one pocket and lose it out of the other.</w:t>
            </w:r>
          </w:p>
          <w:p>
            <w:pPr>
              <w:spacing w:after="40"/>
            </w:pPr>
          </w:p>
        </w:tc>
      </w:tr>
    </w:tbl>
    <w:p/>
    <w:tbl>
      <w:tblPr>
        <w:tblW w:type="auto" w:w="0"/>
        <w:jc w:val="left"/>
        <w:tblLook w:firstColumn="1" w:firstRow="1" w:lastColumn="0" w:lastRow="0" w:noHBand="0" w:noVBand="1" w:val="04A0"/>
        <w:tblW w:w="0" w:type="auto"/>
      </w:tblPr>
      <w:tblGrid>
        <w:gridCol w:w="9792"/>
      </w:tblGrid>
      <w:tr>
        <w:trPr>
          <w:trHeight w:val="216" w:hRule="exact"/>
        </w:trPr>
        <w:tc>
          <w:tcPr>
            <w:tcW w:type="dxa" w:w="9792"/>
            <w:shd w:val="clear" w:color="auto" w:fill="1A2E4A"/>
          </w:tcPr>
          <w:p>
            <w:pPr>
              <w:spacing w:before="0" w:after="0"/>
            </w:pPr>
          </w:p>
        </w:tc>
      </w:tr>
    </w:tbl>
    <w:p/>
    <w:p>
      <w:pPr>
        <w:spacing w:before="40" w:after="80"/>
      </w:pP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2  |  HOW YOUR PROPERTY TAX BILL ACTUALLY WORKS</w:t>
            </w:r>
          </w:p>
        </w:tc>
      </w:tr>
    </w:tbl>
    <w:p/>
    <w:p>
      <w:pPr>
        <w:spacing w:before="40" w:after="80"/>
      </w:pPr>
      <w:r>
        <w:rPr>
          <w:rFonts w:ascii="Calibri" w:hAnsi="Calibri"/>
          <w:b w:val="0"/>
          <w:i w:val="0"/>
          <w:color w:val="1A1A1A"/>
          <w:sz w:val="21"/>
        </w:rPr>
        <w:t>Most people see a single number on their property tax bill and pay it. But that number is actually built by stacking several separate taxing authorities on top of each other — each one setting its own rate, called a 'mill levy.' One mill equals $1 in tax for every $1,000 of your home's assessed value.</w:t>
      </w:r>
    </w:p>
    <w:p>
      <w:pPr>
        <w:spacing w:before="40" w:after="80"/>
      </w:pPr>
      <w:r>
        <w:rPr>
          <w:rFonts w:ascii="Calibri" w:hAnsi="Calibri"/>
          <w:b w:val="0"/>
          <w:i w:val="0"/>
          <w:color w:val="1A1A1A"/>
          <w:sz w:val="21"/>
        </w:rPr>
        <w:t>Your Custer County property tax bill typically includes levies from all of the following:</w:t>
      </w:r>
    </w:p>
    <w:tbl>
      <w:tblPr>
        <w:tblStyle w:val="TableGrid"/>
        <w:tblW w:type="auto" w:w="0"/>
        <w:jc w:val="left"/>
        <w:tblLook w:firstColumn="1" w:firstRow="1" w:lastColumn="0" w:lastRow="0" w:noHBand="0" w:noVBand="1" w:val="04A0"/>
      </w:tblPr>
      <w:tblGrid>
        <w:gridCol w:w="4896"/>
        <w:gridCol w:w="4896"/>
      </w:tblGrid>
      <w:tr>
        <w:tc>
          <w:tcPr>
            <w:tcW w:type="dxa" w:w="4896"/>
            <w:shd w:val="clear" w:color="auto" w:fill="1A2E4A"/>
          </w:tcPr>
          <w:p>
            <w:pPr>
              <w:spacing w:before="40" w:after="40"/>
            </w:pPr>
            <w:r>
              <w:rPr>
                <w:rFonts w:ascii="Calibri" w:hAnsi="Calibri"/>
                <w:b/>
                <w:i w:val="0"/>
                <w:color w:val="FFFFFF"/>
                <w:sz w:val="20"/>
              </w:rPr>
              <w:t>Who Takes a Piece</w:t>
            </w:r>
          </w:p>
        </w:tc>
        <w:tc>
          <w:tcPr>
            <w:tcW w:type="dxa" w:w="4896"/>
            <w:shd w:val="clear" w:color="auto" w:fill="1A2E4A"/>
          </w:tcPr>
          <w:p>
            <w:pPr>
              <w:spacing w:before="40" w:after="40"/>
            </w:pPr>
            <w:r>
              <w:rPr>
                <w:rFonts w:ascii="Calibri" w:hAnsi="Calibri"/>
                <w:b/>
                <w:i w:val="0"/>
                <w:color w:val="FFFFFF"/>
                <w:sz w:val="20"/>
              </w:rPr>
              <w:t>What It Pays For</w:t>
            </w:r>
          </w:p>
        </w:tc>
      </w:tr>
      <w:tr>
        <w:tc>
          <w:tcPr>
            <w:tcW w:type="dxa" w:w="4896"/>
            <w:shd w:val="clear" w:color="auto" w:fill="F4F5F7"/>
          </w:tcPr>
          <w:p>
            <w:pPr>
              <w:spacing w:before="40" w:after="40"/>
            </w:pPr>
            <w:r>
              <w:rPr>
                <w:rFonts w:ascii="Calibri" w:hAnsi="Calibri"/>
                <w:b/>
                <w:i w:val="0"/>
                <w:color w:val="1A2E4A"/>
                <w:sz w:val="20"/>
              </w:rPr>
              <w:t>Custer County Government</w:t>
            </w:r>
          </w:p>
        </w:tc>
        <w:tc>
          <w:tcPr>
            <w:tcW w:type="dxa" w:w="4896"/>
            <w:shd w:val="clear" w:color="auto" w:fill="F4F5F7"/>
          </w:tcPr>
          <w:p>
            <w:pPr>
              <w:spacing w:before="40" w:after="40"/>
            </w:pPr>
            <w:r>
              <w:rPr>
                <w:rFonts w:ascii="Calibri" w:hAnsi="Calibri"/>
                <w:b w:val="0"/>
                <w:i w:val="0"/>
                <w:color w:val="1A1A1A"/>
                <w:sz w:val="20"/>
              </w:rPr>
              <w:t>Funds county services: roads, the courthouse, the Sheriff's Office, administration</w:t>
            </w:r>
          </w:p>
        </w:tc>
      </w:tr>
      <w:tr>
        <w:tc>
          <w:tcPr>
            <w:tcW w:type="dxa" w:w="4896"/>
            <w:shd w:val="clear" w:color="auto" w:fill="FFFFFF"/>
          </w:tcPr>
          <w:p>
            <w:pPr>
              <w:spacing w:before="40" w:after="40"/>
            </w:pPr>
            <w:r>
              <w:rPr>
                <w:rFonts w:ascii="Calibri" w:hAnsi="Calibri"/>
                <w:b/>
                <w:i w:val="0"/>
                <w:color w:val="1A2E4A"/>
                <w:sz w:val="20"/>
              </w:rPr>
              <w:t>Custer School District 16-1</w:t>
            </w:r>
          </w:p>
        </w:tc>
        <w:tc>
          <w:tcPr>
            <w:tcW w:type="dxa" w:w="4896"/>
            <w:shd w:val="clear" w:color="auto" w:fill="FFFFFF"/>
          </w:tcPr>
          <w:p>
            <w:pPr>
              <w:spacing w:before="40" w:after="40"/>
            </w:pPr>
            <w:r>
              <w:rPr>
                <w:rFonts w:ascii="Calibri" w:hAnsi="Calibri"/>
                <w:b w:val="0"/>
                <w:i w:val="0"/>
                <w:color w:val="1A1A1A"/>
                <w:sz w:val="20"/>
              </w:rPr>
              <w:t>Funds K-12 education for roughly 906 students — typically the largest single slice of your bill</w:t>
            </w:r>
          </w:p>
        </w:tc>
      </w:tr>
      <w:tr>
        <w:tc>
          <w:tcPr>
            <w:tcW w:type="dxa" w:w="4896"/>
            <w:shd w:val="clear" w:color="auto" w:fill="F4F5F7"/>
          </w:tcPr>
          <w:p>
            <w:pPr>
              <w:spacing w:before="40" w:after="40"/>
            </w:pPr>
            <w:r>
              <w:rPr>
                <w:rFonts w:ascii="Calibri" w:hAnsi="Calibri"/>
                <w:b/>
                <w:i w:val="0"/>
                <w:color w:val="1A2E4A"/>
                <w:sz w:val="20"/>
              </w:rPr>
              <w:t>City of Custer</w:t>
            </w:r>
          </w:p>
        </w:tc>
        <w:tc>
          <w:tcPr>
            <w:tcW w:type="dxa" w:w="4896"/>
            <w:shd w:val="clear" w:color="auto" w:fill="F4F5F7"/>
          </w:tcPr>
          <w:p>
            <w:pPr>
              <w:spacing w:before="40" w:after="40"/>
            </w:pPr>
            <w:r>
              <w:rPr>
                <w:rFonts w:ascii="Calibri" w:hAnsi="Calibri"/>
                <w:b w:val="0"/>
                <w:i w:val="0"/>
                <w:color w:val="1A1A1A"/>
                <w:sz w:val="20"/>
              </w:rPr>
              <w:t>If you live inside city limits, the city adds its own levy</w:t>
            </w:r>
          </w:p>
        </w:tc>
      </w:tr>
      <w:tr>
        <w:tc>
          <w:tcPr>
            <w:tcW w:type="dxa" w:w="4896"/>
            <w:shd w:val="clear" w:color="auto" w:fill="FFFFFF"/>
          </w:tcPr>
          <w:p>
            <w:pPr>
              <w:spacing w:before="40" w:after="40"/>
            </w:pPr>
            <w:r>
              <w:rPr>
                <w:rFonts w:ascii="Calibri" w:hAnsi="Calibri"/>
                <w:b/>
                <w:i w:val="0"/>
                <w:color w:val="1A2E4A"/>
                <w:sz w:val="20"/>
              </w:rPr>
              <w:t>Rural Fire Protection</w:t>
            </w:r>
          </w:p>
        </w:tc>
        <w:tc>
          <w:tcPr>
            <w:tcW w:type="dxa" w:w="4896"/>
            <w:shd w:val="clear" w:color="auto" w:fill="FFFFFF"/>
          </w:tcPr>
          <w:p>
            <w:pPr>
              <w:spacing w:before="40" w:after="40"/>
            </w:pPr>
            <w:r>
              <w:rPr>
                <w:rFonts w:ascii="Calibri" w:hAnsi="Calibri"/>
                <w:b w:val="0"/>
                <w:i w:val="0"/>
                <w:color w:val="1A1A1A"/>
                <w:sz w:val="20"/>
              </w:rPr>
              <w:t>Funds volunteer fire departments serving areas outside city limits</w:t>
            </w:r>
          </w:p>
        </w:tc>
      </w:tr>
      <w:tr>
        <w:tc>
          <w:tcPr>
            <w:tcW w:type="dxa" w:w="4896"/>
            <w:shd w:val="clear" w:color="auto" w:fill="F4F5F7"/>
          </w:tcPr>
          <w:p>
            <w:pPr>
              <w:spacing w:before="40" w:after="40"/>
            </w:pPr>
            <w:r>
              <w:rPr>
                <w:rFonts w:ascii="Calibri" w:hAnsi="Calibri"/>
                <w:b/>
                <w:i w:val="0"/>
                <w:color w:val="1A2E4A"/>
                <w:sz w:val="20"/>
              </w:rPr>
              <w:t>Special Districts</w:t>
            </w:r>
          </w:p>
        </w:tc>
        <w:tc>
          <w:tcPr>
            <w:tcW w:type="dxa" w:w="4896"/>
            <w:shd w:val="clear" w:color="auto" w:fill="F4F5F7"/>
          </w:tcPr>
          <w:p>
            <w:pPr>
              <w:spacing w:before="40" w:after="40"/>
            </w:pPr>
            <w:r>
              <w:rPr>
                <w:rFonts w:ascii="Calibri" w:hAnsi="Calibri"/>
                <w:b w:val="0"/>
                <w:i w:val="0"/>
                <w:color w:val="1A1A1A"/>
                <w:sz w:val="20"/>
              </w:rPr>
              <w:t>May include road districts, water districts, or other local service units</w:t>
            </w:r>
          </w:p>
        </w:tc>
      </w:tr>
    </w:tbl>
    <w:p/>
    <w:p>
      <w:pPr>
        <w:spacing w:before="40" w:after="80"/>
      </w:pPr>
      <w:r>
        <w:rPr>
          <w:rFonts w:ascii="Calibri" w:hAnsi="Calibri"/>
          <w:b w:val="0"/>
          <w:i w:val="0"/>
          <w:color w:val="1A1A1A"/>
          <w:sz w:val="21"/>
        </w:rPr>
        <w:t>When a taxing authority wants to collect more money, it can raise its mill levy — if state law allows it. An 'opt-out' is a specific mechanism under South Dakota law that lets a county or district collect more property tax than the normal levy limits allow. It requires a public vote or formal board action, and once in place, it stays on your bill every year.</w:t>
      </w:r>
    </w:p>
    <w:tbl>
      <w:tblPr>
        <w:tblW w:type="auto" w:w="0"/>
        <w:jc w:val="left"/>
        <w:tblLook w:firstColumn="1" w:firstRow="1" w:lastColumn="0" w:lastRow="0" w:noHBand="0" w:noVBand="1" w:val="04A0"/>
        <w:tblW w:w="0" w:type="auto"/>
      </w:tblPr>
      <w:tblGrid>
        <w:gridCol w:w="9792"/>
      </w:tblGrid>
      <w:tr>
        <w:trPr>
          <w:trHeight w:val="216" w:hRule="exact"/>
        </w:trPr>
        <w:tc>
          <w:tcPr>
            <w:tcW w:type="dxa" w:w="9792"/>
            <w:shd w:val="clear" w:color="auto" w:fill="1A2E4A"/>
          </w:tcPr>
          <w:p>
            <w:pPr>
              <w:spacing w:before="0" w:after="0"/>
            </w:pPr>
          </w:p>
        </w:tc>
      </w:tr>
    </w:tbl>
    <w:p/>
    <w:p>
      <w:pPr>
        <w:spacing w:before="40" w:after="80"/>
      </w:pP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3  |  WHAT THE STATE JUST DID: SB 245 AND SB 96 EXPLAINED SIMPLY</w:t>
            </w:r>
          </w:p>
        </w:tc>
      </w:tr>
    </w:tbl>
    <w:p/>
    <w:p>
      <w:pPr>
        <w:spacing w:before="160" w:after="40"/>
      </w:pPr>
      <w:r>
        <w:rPr>
          <w:rFonts w:ascii="Calibri" w:hAnsi="Calibri"/>
          <w:b/>
          <w:i w:val="0"/>
          <w:color w:val="1A2E4A"/>
          <w:sz w:val="23"/>
        </w:rPr>
        <w:t>Senate Bill 245 — The State Picks Up Part of Your School Tax Bill</w:t>
      </w:r>
    </w:p>
    <w:p>
      <w:pPr>
        <w:spacing w:before="40" w:after="80"/>
      </w:pPr>
      <w:r>
        <w:rPr>
          <w:rFonts w:ascii="Calibri" w:hAnsi="Calibri"/>
          <w:b w:val="0"/>
          <w:i w:val="0"/>
          <w:color w:val="1A1A1A"/>
          <w:sz w:val="21"/>
        </w:rPr>
        <w:t>Here is the simplest explanation of SB 245: the state of South Dakota is going to take money from sales tax revenue and use it to pay down part of what your school district needs from property taxes. That means your school district can collect less from you directly — and the state makes up the gap.</w:t>
      </w:r>
    </w:p>
    <w:p>
      <w:pPr>
        <w:spacing w:before="40" w:after="80"/>
      </w:pPr>
      <w:r>
        <w:rPr>
          <w:rFonts w:ascii="Calibri" w:hAnsi="Calibri"/>
          <w:b w:val="0"/>
          <w:i w:val="0"/>
          <w:color w:val="1A1A1A"/>
          <w:sz w:val="21"/>
        </w:rPr>
        <w:t>How it gets funded: South Dakota's sales tax rate was temporarily cut to 4.2% a few years ago. On July 1, 2026, that rate returns to 4.5%. SB 245 dedicates that 0.3% difference — plus a one-time transfer of $55.9 million from state reserves — into an owner-occupied property tax relief fund.</w:t>
      </w:r>
    </w:p>
    <w:tbl>
      <w:tblPr>
        <w:tblW w:type="auto" w:w="0"/>
        <w:jc w:val="left"/>
        <w:tblLook w:firstColumn="1" w:firstRow="1" w:lastColumn="0" w:lastRow="0" w:noHBand="0" w:noVBand="1" w:val="04A0"/>
        <w:tblW w:w="0" w:type="auto"/>
      </w:tblPr>
      <w:tblGrid>
        <w:gridCol w:w="9792"/>
      </w:tblGrid>
      <w:tr>
        <w:tc>
          <w:tcPr>
            <w:tcW w:type="dxa" w:w="9792"/>
            <w:shd w:val="clear" w:color="auto" w:fill="E6F4EA"/>
            <w:tcBorders>
              <w:top w:val="single" w:sz="12" w:space="0" w:color="146B30"/>
              <w:left w:val="single" w:sz="12" w:space="0" w:color="146B30"/>
              <w:bottom w:val="single" w:sz="12" w:space="0" w:color="146B30"/>
              <w:right w:val="single" w:sz="12" w:space="0" w:color="146B30"/>
            </w:tcBorders>
          </w:tcPr>
          <w:p>
            <w:pPr>
              <w:spacing w:before="80"/>
              <w:ind w:left="144"/>
            </w:pPr>
            <w:r>
              <w:rPr>
                <w:rFonts w:ascii="Calibri" w:hAnsi="Calibri"/>
                <w:b/>
                <w:i w:val="0"/>
                <w:color w:val="146B30"/>
                <w:sz w:val="21"/>
              </w:rPr>
              <w:t>WHAT SB 245 MEANS ON YOUR BILL</w:t>
            </w:r>
          </w:p>
          <w:p>
            <w:pPr>
              <w:spacing w:before="20" w:after="20"/>
              <w:ind w:left="144"/>
            </w:pPr>
            <w:r>
              <w:rPr>
                <w:rFonts w:ascii="Calibri" w:hAnsi="Calibri"/>
                <w:b w:val="0"/>
                <w:i w:val="0"/>
                <w:color w:val="1A1A1A"/>
                <w:sz w:val="21"/>
              </w:rPr>
              <w:t>Average reduction statewide:  Up to 15% of your current property tax bill</w:t>
            </w:r>
          </w:p>
          <w:p>
            <w:pPr>
              <w:spacing w:before="20" w:after="20"/>
              <w:ind w:left="144"/>
            </w:pPr>
            <w:r>
              <w:rPr>
                <w:rFonts w:ascii="Calibri" w:hAnsi="Calibri"/>
                <w:b w:val="0"/>
                <w:i w:val="0"/>
                <w:color w:val="1A1A1A"/>
                <w:sz w:val="21"/>
              </w:rPr>
              <w:t>Estimated savings example:     ~$547 per year on a $325,000 home</w:t>
            </w:r>
          </w:p>
          <w:p>
            <w:pPr>
              <w:spacing w:before="20" w:after="20"/>
              <w:ind w:left="144"/>
            </w:pPr>
            <w:r>
              <w:rPr>
                <w:rFonts w:ascii="Calibri" w:hAnsi="Calibri"/>
                <w:b w:val="0"/>
                <w:i w:val="0"/>
                <w:color w:val="1A1A1A"/>
                <w:sz w:val="21"/>
              </w:rPr>
              <w:t>Who qualifies:                 Owner-occupied residential properties</w:t>
            </w:r>
          </w:p>
          <w:p>
            <w:pPr>
              <w:spacing w:before="20" w:after="20"/>
              <w:ind w:left="144"/>
            </w:pPr>
            <w:r>
              <w:rPr>
                <w:rFonts w:ascii="Calibri" w:hAnsi="Calibri"/>
                <w:b w:val="0"/>
                <w:i w:val="0"/>
                <w:color w:val="1A1A1A"/>
                <w:sz w:val="21"/>
              </w:rPr>
              <w:t>How it appears:                As a credit directly on your property tax bill</w:t>
            </w:r>
          </w:p>
          <w:p>
            <w:pPr>
              <w:spacing w:before="20" w:after="20"/>
              <w:ind w:left="144"/>
            </w:pPr>
            <w:r>
              <w:rPr>
                <w:rFonts w:ascii="Calibri" w:hAnsi="Calibri"/>
                <w:b w:val="0"/>
                <w:i w:val="0"/>
                <w:color w:val="1A1A1A"/>
                <w:sz w:val="21"/>
              </w:rPr>
              <w:t>When it starts:                July 1, 2026 — this year</w:t>
            </w:r>
          </w:p>
          <w:p>
            <w:pPr>
              <w:spacing w:before="20" w:after="20"/>
              <w:ind w:left="144"/>
            </w:pPr>
            <w:r>
              <w:rPr>
                <w:rFonts w:ascii="Calibri" w:hAnsi="Calibri"/>
                <w:b w:val="0"/>
                <w:i w:val="0"/>
                <w:color w:val="1A1A1A"/>
                <w:sz w:val="21"/>
              </w:rPr>
              <w:t>One-time or ongoing:           Ongoing as long as the 4.5% sales tax rate continues</w:t>
            </w:r>
          </w:p>
          <w:p>
            <w:pPr>
              <w:spacing w:after="40"/>
            </w:pPr>
          </w:p>
        </w:tc>
      </w:tr>
    </w:tbl>
    <w:p/>
    <w:p>
      <w:pPr>
        <w:spacing w:before="160" w:after="40"/>
      </w:pPr>
      <w:r>
        <w:rPr>
          <w:rFonts w:ascii="Calibri" w:hAnsi="Calibri"/>
          <w:b/>
          <w:i w:val="0"/>
          <w:color w:val="1A2E4A"/>
          <w:sz w:val="23"/>
        </w:rPr>
        <w:t>Senate Bill 96 — Counties Can Cut Property Taxes Even Further</w:t>
      </w:r>
    </w:p>
    <w:p>
      <w:pPr>
        <w:spacing w:before="40" w:after="80"/>
      </w:pPr>
      <w:r>
        <w:rPr>
          <w:rFonts w:ascii="Calibri" w:hAnsi="Calibri"/>
          <w:b w:val="0"/>
          <w:i w:val="0"/>
          <w:color w:val="1A1A1A"/>
          <w:sz w:val="21"/>
        </w:rPr>
        <w:t>SB 96 gives each county commission a tool to go further. It allows counties — with voter or commission approval — to add up to a half-cent (0.5%) local sales tax, with every single dollar required by law to go toward reducing property tax mill levies.</w:t>
      </w:r>
    </w:p>
    <w:p>
      <w:pPr>
        <w:spacing w:before="40" w:after="80"/>
      </w:pPr>
      <w:r>
        <w:rPr>
          <w:rFonts w:ascii="Calibri" w:hAnsi="Calibri"/>
          <w:b w:val="0"/>
          <w:i w:val="0"/>
          <w:color w:val="1A1A1A"/>
          <w:sz w:val="21"/>
        </w:rPr>
        <w:t>In plain English: the county can shift some of your tax burden from your property to sales transactions. Tourists, visitors, and shoppers at Wind Cave, Custer State Park, and Mount Rushmore would share the load — instead of the entire burden falling on Custer County homeowners.</w:t>
      </w:r>
    </w:p>
    <w:tbl>
      <w:tblPr>
        <w:tblStyle w:val="TableGrid"/>
        <w:tblW w:type="auto" w:w="0"/>
        <w:jc w:val="left"/>
        <w:tblLook w:firstColumn="1" w:firstRow="1" w:lastColumn="0" w:lastRow="0" w:noHBand="0" w:noVBand="1" w:val="04A0"/>
      </w:tblPr>
      <w:tblGrid>
        <w:gridCol w:w="4896"/>
        <w:gridCol w:w="4896"/>
      </w:tblGrid>
      <w:tr>
        <w:tc>
          <w:tcPr>
            <w:tcW w:type="dxa" w:w="4896"/>
            <w:shd w:val="clear" w:color="auto" w:fill="1A2E4A"/>
          </w:tcPr>
          <w:p>
            <w:pPr>
              <w:spacing w:before="40" w:after="40"/>
            </w:pPr>
            <w:r>
              <w:rPr>
                <w:rFonts w:ascii="Calibri" w:hAnsi="Calibri"/>
                <w:b/>
                <w:i w:val="0"/>
                <w:color w:val="FFFFFF"/>
                <w:sz w:val="20"/>
              </w:rPr>
              <w:t>SB 96 Detail</w:t>
            </w:r>
          </w:p>
        </w:tc>
        <w:tc>
          <w:tcPr>
            <w:tcW w:type="dxa" w:w="4896"/>
            <w:shd w:val="clear" w:color="auto" w:fill="1A2E4A"/>
          </w:tcPr>
          <w:p>
            <w:pPr>
              <w:spacing w:before="40" w:after="40"/>
            </w:pPr>
            <w:r>
              <w:rPr>
                <w:rFonts w:ascii="Calibri" w:hAnsi="Calibri"/>
                <w:b/>
                <w:i w:val="0"/>
                <w:color w:val="FFFFFF"/>
                <w:sz w:val="20"/>
              </w:rPr>
              <w:t>Plain English</w:t>
            </w:r>
          </w:p>
        </w:tc>
      </w:tr>
      <w:tr>
        <w:tc>
          <w:tcPr>
            <w:tcW w:type="dxa" w:w="4896"/>
            <w:shd w:val="clear" w:color="auto" w:fill="F4F5F7"/>
          </w:tcPr>
          <w:p>
            <w:pPr>
              <w:spacing w:before="40" w:after="40"/>
            </w:pPr>
            <w:r>
              <w:rPr>
                <w:rFonts w:ascii="Calibri" w:hAnsi="Calibri"/>
                <w:b/>
                <w:i w:val="0"/>
                <w:color w:val="1A2E4A"/>
                <w:sz w:val="20"/>
              </w:rPr>
              <w:t>Tax Rate Added</w:t>
            </w:r>
          </w:p>
        </w:tc>
        <w:tc>
          <w:tcPr>
            <w:tcW w:type="dxa" w:w="4896"/>
            <w:shd w:val="clear" w:color="auto" w:fill="F4F5F7"/>
          </w:tcPr>
          <w:p>
            <w:pPr>
              <w:spacing w:before="40" w:after="40"/>
            </w:pPr>
            <w:r>
              <w:rPr>
                <w:rFonts w:ascii="Calibri" w:hAnsi="Calibri"/>
                <w:b w:val="0"/>
                <w:i w:val="0"/>
                <w:color w:val="1A1A1A"/>
                <w:sz w:val="20"/>
              </w:rPr>
              <w:t>Up to 0.5 cents on every dollar spent in the county</w:t>
            </w:r>
          </w:p>
        </w:tc>
      </w:tr>
      <w:tr>
        <w:tc>
          <w:tcPr>
            <w:tcW w:type="dxa" w:w="4896"/>
            <w:shd w:val="clear" w:color="auto" w:fill="FFFFFF"/>
          </w:tcPr>
          <w:p>
            <w:pPr>
              <w:spacing w:before="40" w:after="40"/>
            </w:pPr>
            <w:r>
              <w:rPr>
                <w:rFonts w:ascii="Calibri" w:hAnsi="Calibri"/>
                <w:b/>
                <w:i w:val="0"/>
                <w:color w:val="1A2E4A"/>
                <w:sz w:val="20"/>
              </w:rPr>
              <w:t>Who pays it</w:t>
            </w:r>
          </w:p>
        </w:tc>
        <w:tc>
          <w:tcPr>
            <w:tcW w:type="dxa" w:w="4896"/>
            <w:shd w:val="clear" w:color="auto" w:fill="FFFFFF"/>
          </w:tcPr>
          <w:p>
            <w:pPr>
              <w:spacing w:before="40" w:after="40"/>
            </w:pPr>
            <w:r>
              <w:rPr>
                <w:rFonts w:ascii="Calibri" w:hAnsi="Calibri"/>
                <w:b w:val="0"/>
                <w:i w:val="0"/>
                <w:color w:val="1A1A1A"/>
                <w:sz w:val="20"/>
              </w:rPr>
              <w:t>Anyone who buys something in the county — residents AND visitors</w:t>
            </w:r>
          </w:p>
        </w:tc>
      </w:tr>
      <w:tr>
        <w:tc>
          <w:tcPr>
            <w:tcW w:type="dxa" w:w="4896"/>
            <w:shd w:val="clear" w:color="auto" w:fill="F4F5F7"/>
          </w:tcPr>
          <w:p>
            <w:pPr>
              <w:spacing w:before="40" w:after="40"/>
            </w:pPr>
            <w:r>
              <w:rPr>
                <w:rFonts w:ascii="Calibri" w:hAnsi="Calibri"/>
                <w:b/>
                <w:i w:val="0"/>
                <w:color w:val="1A2E4A"/>
                <w:sz w:val="20"/>
              </w:rPr>
              <w:t>Where the money goes</w:t>
            </w:r>
          </w:p>
        </w:tc>
        <w:tc>
          <w:tcPr>
            <w:tcW w:type="dxa" w:w="4896"/>
            <w:shd w:val="clear" w:color="auto" w:fill="F4F5F7"/>
          </w:tcPr>
          <w:p>
            <w:pPr>
              <w:spacing w:before="40" w:after="40"/>
            </w:pPr>
            <w:r>
              <w:rPr>
                <w:rFonts w:ascii="Calibri" w:hAnsi="Calibri"/>
                <w:b w:val="0"/>
                <w:i w:val="0"/>
                <w:color w:val="1A1A1A"/>
                <w:sz w:val="20"/>
              </w:rPr>
              <w:t>100% required by law to reduce property tax mill levies</w:t>
            </w:r>
          </w:p>
        </w:tc>
      </w:tr>
      <w:tr>
        <w:tc>
          <w:tcPr>
            <w:tcW w:type="dxa" w:w="4896"/>
            <w:shd w:val="clear" w:color="auto" w:fill="FFFFFF"/>
          </w:tcPr>
          <w:p>
            <w:pPr>
              <w:spacing w:before="40" w:after="40"/>
            </w:pPr>
            <w:r>
              <w:rPr>
                <w:rFonts w:ascii="Calibri" w:hAnsi="Calibri"/>
                <w:b/>
                <w:i w:val="0"/>
                <w:color w:val="1A2E4A"/>
                <w:sz w:val="20"/>
              </w:rPr>
              <w:t>Who decides</w:t>
            </w:r>
          </w:p>
        </w:tc>
        <w:tc>
          <w:tcPr>
            <w:tcW w:type="dxa" w:w="4896"/>
            <w:shd w:val="clear" w:color="auto" w:fill="FFFFFF"/>
          </w:tcPr>
          <w:p>
            <w:pPr>
              <w:spacing w:before="40" w:after="40"/>
            </w:pPr>
            <w:r>
              <w:rPr>
                <w:rFonts w:ascii="Calibri" w:hAnsi="Calibri"/>
                <w:b w:val="0"/>
                <w:i w:val="0"/>
                <w:color w:val="1A1A1A"/>
                <w:sz w:val="20"/>
              </w:rPr>
              <w:t>The county commission, or a public vote — your elected officials</w:t>
            </w:r>
          </w:p>
        </w:tc>
      </w:tr>
      <w:tr>
        <w:tc>
          <w:tcPr>
            <w:tcW w:type="dxa" w:w="4896"/>
            <w:shd w:val="clear" w:color="auto" w:fill="F4F5F7"/>
          </w:tcPr>
          <w:p>
            <w:pPr>
              <w:spacing w:before="40" w:after="40"/>
            </w:pPr>
            <w:r>
              <w:rPr>
                <w:rFonts w:ascii="Calibri" w:hAnsi="Calibri"/>
                <w:b/>
                <w:i w:val="0"/>
                <w:color w:val="1A2E4A"/>
                <w:sz w:val="20"/>
              </w:rPr>
              <w:t>Potential savings</w:t>
            </w:r>
          </w:p>
        </w:tc>
        <w:tc>
          <w:tcPr>
            <w:tcW w:type="dxa" w:w="4896"/>
            <w:shd w:val="clear" w:color="auto" w:fill="F4F5F7"/>
          </w:tcPr>
          <w:p>
            <w:pPr>
              <w:spacing w:before="40" w:after="40"/>
            </w:pPr>
            <w:r>
              <w:rPr>
                <w:rFonts w:ascii="Calibri" w:hAnsi="Calibri"/>
                <w:b w:val="0"/>
                <w:i w:val="0"/>
                <w:color w:val="1A1A1A"/>
                <w:sz w:val="20"/>
              </w:rPr>
              <w:t>Up to 20-35% property tax reduction when combined with SB 245</w:t>
            </w:r>
          </w:p>
        </w:tc>
      </w:tr>
      <w:tr>
        <w:tc>
          <w:tcPr>
            <w:tcW w:type="dxa" w:w="4896"/>
            <w:shd w:val="clear" w:color="auto" w:fill="FFFFFF"/>
          </w:tcPr>
          <w:p>
            <w:pPr>
              <w:spacing w:before="40" w:after="40"/>
            </w:pPr>
            <w:r>
              <w:rPr>
                <w:rFonts w:ascii="Calibri" w:hAnsi="Calibri"/>
                <w:b/>
                <w:i w:val="0"/>
                <w:color w:val="1A2E4A"/>
                <w:sz w:val="20"/>
              </w:rPr>
              <w:t>Example</w:t>
            </w:r>
          </w:p>
        </w:tc>
        <w:tc>
          <w:tcPr>
            <w:tcW w:type="dxa" w:w="4896"/>
            <w:shd w:val="clear" w:color="auto" w:fill="FFFFFF"/>
          </w:tcPr>
          <w:p>
            <w:pPr>
              <w:spacing w:before="40" w:after="40"/>
            </w:pPr>
            <w:r>
              <w:rPr>
                <w:rFonts w:ascii="Calibri" w:hAnsi="Calibri"/>
                <w:b w:val="0"/>
                <w:i w:val="0"/>
                <w:color w:val="1A1A1A"/>
                <w:sz w:val="20"/>
              </w:rPr>
              <w:t>Bennett County could see up to 35% total reduction with both bills combined</w:t>
            </w:r>
          </w:p>
        </w:tc>
      </w:tr>
    </w:tbl>
    <w:p/>
    <w:p>
      <w:pPr>
        <w:spacing w:before="40" w:after="80"/>
      </w:pPr>
      <w:r>
        <w:rPr>
          <w:rFonts w:ascii="Calibri" w:hAnsi="Calibri"/>
          <w:b w:val="0"/>
          <w:i w:val="0"/>
          <w:color w:val="1A1A1A"/>
          <w:sz w:val="21"/>
        </w:rPr>
        <w:t>Custer County hosts Wind Cave National Park (one of the most visited national parks in the region), Custer State Park, and significant Black Hills tourism traffic. Millions of visitors pass through every year. SB 96 allows the county to let that visitor economy contribute to the cost of services those visitors use — rather than placing that burden entirely on year-round homeowners.</w:t>
      </w:r>
    </w:p>
    <w:tbl>
      <w:tblPr>
        <w:tblW w:type="auto" w:w="0"/>
        <w:jc w:val="left"/>
        <w:tblLook w:firstColumn="1" w:firstRow="1" w:lastColumn="0" w:lastRow="0" w:noHBand="0" w:noVBand="1" w:val="04A0"/>
        <w:tblW w:w="0" w:type="auto"/>
      </w:tblPr>
      <w:tblGrid>
        <w:gridCol w:w="9792"/>
      </w:tblGrid>
      <w:tr>
        <w:trPr>
          <w:trHeight w:val="216" w:hRule="exact"/>
        </w:trPr>
        <w:tc>
          <w:tcPr>
            <w:tcW w:type="dxa" w:w="9792"/>
            <w:shd w:val="clear" w:color="auto" w:fill="1A2E4A"/>
          </w:tcPr>
          <w:p>
            <w:pPr>
              <w:spacing w:before="0" w:after="0"/>
            </w:pPr>
          </w:p>
        </w:tc>
      </w:tr>
    </w:tbl>
    <w:p/>
    <w:p>
      <w:pPr>
        <w:spacing w:before="40" w:after="80"/>
      </w:pP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4  |  WHY THE TIMING MATTERS: THE FIRE OPT-OUT PROBLEM</w:t>
            </w:r>
          </w:p>
        </w:tc>
      </w:tr>
    </w:tbl>
    <w:p/>
    <w:p>
      <w:pPr>
        <w:spacing w:before="40" w:after="80"/>
      </w:pPr>
      <w:r>
        <w:rPr>
          <w:rFonts w:ascii="Calibri" w:hAnsi="Calibri"/>
          <w:b w:val="0"/>
          <w:i w:val="0"/>
          <w:color w:val="1A1A1A"/>
          <w:sz w:val="21"/>
        </w:rPr>
        <w:t>Here is where it gets important for Custer County specifically.</w:t>
      </w:r>
    </w:p>
    <w:p>
      <w:pPr>
        <w:spacing w:before="40" w:after="80"/>
      </w:pPr>
      <w:r>
        <w:rPr>
          <w:rFonts w:ascii="Calibri" w:hAnsi="Calibri"/>
          <w:b w:val="0"/>
          <w:i w:val="0"/>
          <w:color w:val="1A1A1A"/>
          <w:sz w:val="21"/>
        </w:rPr>
        <w:t>At the same time that the state is delivering the largest property tax cut in South Dakota history, the Custer County Commission is pursuing a Fire Protection Opt-Out — a new property tax levy to fund rural fire departments. This opt-out, if passed, will be added to your property tax bill — the same bill that is about to receive a state-funded credit.</w:t>
      </w:r>
    </w:p>
    <w:tbl>
      <w:tblPr>
        <w:tblW w:type="auto" w:w="0"/>
        <w:jc w:val="left"/>
        <w:tblLook w:firstColumn="1" w:firstRow="1" w:lastColumn="0" w:lastRow="0" w:noHBand="0" w:noVBand="1" w:val="04A0"/>
        <w:tblW w:w="0" w:type="auto"/>
      </w:tblPr>
      <w:tblGrid>
        <w:gridCol w:w="4896"/>
        <w:gridCol w:w="4896"/>
      </w:tblGrid>
      <w:tr>
        <w:trPr>
          <w:trHeight w:val="72" w:hRule="atLeast"/>
        </w:trPr>
        <w:tc>
          <w:tcPr>
            <w:tcW w:type="dxa" w:w="4896"/>
            <w:shd w:val="clear" w:color="auto" w:fill="1A2E4A"/>
            <w:tcW w:w="180" w:type="dxa"/>
          </w:tcPr>
          <w:p/>
        </w:tc>
        <w:tc>
          <w:tcPr>
            <w:tcW w:type="dxa" w:w="4896"/>
            <w:shd w:val="clear" w:color="auto" w:fill="E8EDF5"/>
          </w:tcPr>
          <w:p>
            <w:pPr>
              <w:spacing w:before="120" w:after="80"/>
              <w:ind w:left="144"/>
            </w:pPr>
            <w:r>
              <w:rPr>
                <w:rFonts w:ascii="Calibri" w:hAnsi="Calibri"/>
                <w:b w:val="0"/>
                <w:i/>
                <w:color w:val="1A2E4A"/>
                <w:sz w:val="21"/>
              </w:rPr>
              <w:t>"This is merely a band aid."</w:t>
            </w:r>
          </w:p>
          <w:p>
            <w:pPr>
              <w:spacing w:after="80"/>
              <w:ind w:left="144"/>
            </w:pPr>
            <w:r>
              <w:rPr>
                <w:rFonts w:ascii="Calibri" w:hAnsi="Calibri"/>
                <w:b w:val="0"/>
                <w:i/>
                <w:color w:val="505A68"/>
                <w:sz w:val="18"/>
              </w:rPr>
              <w:t>— Commissioner Hartman, referring to the county's approach to fire department funding, Custer County Commission Minutes, June 18, 2025</w:t>
            </w:r>
          </w:p>
        </w:tc>
      </w:tr>
    </w:tbl>
    <w:p/>
    <w:p>
      <w:pPr>
        <w:spacing w:before="40" w:after="80"/>
      </w:pPr>
      <w:r>
        <w:rPr>
          <w:rFonts w:ascii="Calibri" w:hAnsi="Calibri"/>
          <w:b w:val="0"/>
          <w:i w:val="0"/>
          <w:color w:val="1A1A1A"/>
          <w:sz w:val="21"/>
        </w:rPr>
        <w:t>Even the commissioner who supports more fire funding acknowledged that the current proposal is a temporary fix, not a solution. The state has now provided a permanent mechanism — SB 96 — that could fund fire and other services through visitor-generated sales tax revenue instead of homeowner property taxes.</w:t>
      </w:r>
    </w:p>
    <w:tbl>
      <w:tblPr>
        <w:tblW w:type="auto" w:w="0"/>
        <w:jc w:val="left"/>
        <w:tblLook w:firstColumn="1" w:firstRow="1" w:lastColumn="0" w:lastRow="0" w:noHBand="0" w:noVBand="1" w:val="04A0"/>
        <w:tblW w:w="0" w:type="auto"/>
      </w:tblPr>
      <w:tblGrid>
        <w:gridCol w:w="9792"/>
      </w:tblGrid>
      <w:tr>
        <w:tc>
          <w:tcPr>
            <w:tcW w:type="dxa" w:w="9792"/>
            <w:shd w:val="clear" w:color="auto" w:fill="FBE9E7"/>
            <w:tcBorders>
              <w:top w:val="single" w:sz="12" w:space="0" w:color="B31B1B"/>
              <w:left w:val="single" w:sz="12" w:space="0" w:color="B31B1B"/>
              <w:bottom w:val="single" w:sz="12" w:space="0" w:color="B31B1B"/>
              <w:right w:val="single" w:sz="12" w:space="0" w:color="B31B1B"/>
            </w:tcBorders>
          </w:tcPr>
          <w:p>
            <w:pPr>
              <w:spacing w:before="80"/>
              <w:ind w:left="144"/>
            </w:pPr>
            <w:r>
              <w:rPr>
                <w:rFonts w:ascii="Calibri" w:hAnsi="Calibri"/>
                <w:b/>
                <w:i w:val="0"/>
                <w:color w:val="B31B1B"/>
                <w:sz w:val="21"/>
              </w:rPr>
              <w:t>THE PROBLEM IN PLAIN NUMBERS</w:t>
            </w:r>
          </w:p>
          <w:p>
            <w:pPr>
              <w:spacing w:before="20" w:after="20"/>
              <w:ind w:left="144"/>
            </w:pPr>
            <w:r>
              <w:rPr>
                <w:rFonts w:ascii="Calibri" w:hAnsi="Calibri"/>
                <w:b w:val="0"/>
                <w:i w:val="0"/>
                <w:color w:val="1A1A1A"/>
                <w:sz w:val="21"/>
              </w:rPr>
              <w:t>State relief coming July 1:   ~$547 savings per year on a $325,000 home</w:t>
            </w:r>
          </w:p>
          <w:p>
            <w:pPr>
              <w:spacing w:before="20" w:after="20"/>
              <w:ind w:left="144"/>
            </w:pPr>
            <w:r>
              <w:rPr>
                <w:rFonts w:ascii="Calibri" w:hAnsi="Calibri"/>
                <w:b w:val="0"/>
                <w:i w:val="0"/>
                <w:color w:val="1A1A1A"/>
                <w:sz w:val="21"/>
              </w:rPr>
              <w:t>Fire Opt-Out proposed:        Additional property tax levy added to your bill each year</w:t>
            </w:r>
          </w:p>
          <w:p>
            <w:pPr>
              <w:spacing w:before="20" w:after="20"/>
              <w:ind w:left="144"/>
            </w:pPr>
            <w:r>
              <w:rPr>
                <w:rFonts w:ascii="Calibri" w:hAnsi="Calibri"/>
                <w:b w:val="0"/>
                <w:i w:val="0"/>
                <w:color w:val="1A1A1A"/>
                <w:sz w:val="21"/>
              </w:rPr>
              <w:t>Net effect:                   Your relief could be partially or fully erased</w:t>
            </w:r>
          </w:p>
          <w:p>
            <w:pPr>
              <w:spacing w:before="20" w:after="20"/>
              <w:ind w:left="144"/>
            </w:pPr>
            <w:r>
              <w:rPr>
                <w:rFonts w:ascii="Calibri" w:hAnsi="Calibri"/>
                <w:b w:val="0"/>
                <w:i w:val="0"/>
                <w:color w:val="1A1A1A"/>
                <w:sz w:val="21"/>
              </w:rPr>
              <w:t>The SB 96 alternative:        Levy a local sales tax — tourists and visitors pay their share</w:t>
            </w:r>
          </w:p>
          <w:p>
            <w:pPr>
              <w:spacing w:before="20" w:after="20"/>
              <w:ind w:left="144"/>
            </w:pPr>
            <w:r>
              <w:rPr>
                <w:rFonts w:ascii="Calibri" w:hAnsi="Calibri"/>
                <w:b w:val="0"/>
                <w:i w:val="0"/>
                <w:color w:val="1A1A1A"/>
                <w:sz w:val="21"/>
              </w:rPr>
              <w:t>The question:                 Why ask homeowners to pay more while the state is paying you back?</w:t>
            </w:r>
          </w:p>
          <w:p>
            <w:pPr>
              <w:spacing w:after="40"/>
            </w:pPr>
          </w:p>
        </w:tc>
      </w:tr>
    </w:tbl>
    <w:p/>
    <w:tbl>
      <w:tblPr>
        <w:tblW w:type="auto" w:w="0"/>
        <w:jc w:val="left"/>
        <w:tblLook w:firstColumn="1" w:firstRow="1" w:lastColumn="0" w:lastRow="0" w:noHBand="0" w:noVBand="1" w:val="04A0"/>
        <w:tblW w:w="0" w:type="auto"/>
      </w:tblPr>
      <w:tblGrid>
        <w:gridCol w:w="9792"/>
      </w:tblGrid>
      <w:tr>
        <w:trPr>
          <w:trHeight w:val="216" w:hRule="exact"/>
        </w:trPr>
        <w:tc>
          <w:tcPr>
            <w:tcW w:type="dxa" w:w="9792"/>
            <w:shd w:val="clear" w:color="auto" w:fill="1A2E4A"/>
          </w:tcPr>
          <w:p>
            <w:pPr>
              <w:spacing w:before="0" w:after="0"/>
            </w:pPr>
          </w:p>
        </w:tc>
      </w:tr>
    </w:tbl>
    <w:p/>
    <w:p>
      <w:pPr>
        <w:spacing w:before="40" w:after="80"/>
      </w:pP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5  |  WHAT A RESPONSIBLE COUNTY COMMISSION WOULD DO RIGHT NOW</w:t>
            </w:r>
          </w:p>
        </w:tc>
      </w:tr>
    </w:tbl>
    <w:p/>
    <w:p>
      <w:pPr>
        <w:spacing w:before="40" w:after="80"/>
      </w:pPr>
      <w:r>
        <w:rPr>
          <w:rFonts w:ascii="Calibri" w:hAnsi="Calibri"/>
          <w:b w:val="0"/>
          <w:i w:val="0"/>
          <w:color w:val="1A1A1A"/>
          <w:sz w:val="21"/>
        </w:rPr>
        <w:t>The state has done its part. Governor Rhoden and the legislature delivered a historic property tax relief package. SB 96 hands every county commission in South Dakota a direct tool to go further. The question is whether Custer County will use it.</w:t>
      </w:r>
    </w:p>
    <w:p>
      <w:pPr>
        <w:spacing w:before="120" w:after="20"/>
      </w:pPr>
      <w:r>
        <w:rPr>
          <w:rFonts w:ascii="Calibri" w:hAnsi="Calibri"/>
          <w:b/>
          <w:i w:val="0"/>
          <w:color w:val="1A2E4A"/>
          <w:sz w:val="21"/>
        </w:rPr>
        <w:t>A responsible commission would:</w:t>
      </w:r>
    </w:p>
    <w:p>
      <w:pPr>
        <w:spacing w:before="20" w:after="40"/>
        <w:ind w:left="216"/>
      </w:pPr>
      <w:r>
        <w:rPr>
          <w:rFonts w:ascii="Calibri" w:hAnsi="Calibri"/>
          <w:b/>
          <w:i w:val="0"/>
          <w:color w:val="146B30"/>
          <w:sz w:val="21"/>
        </w:rPr>
        <w:t xml:space="preserve">✓  </w:t>
      </w:r>
      <w:r>
        <w:rPr>
          <w:rFonts w:ascii="Calibri" w:hAnsi="Calibri"/>
          <w:b w:val="0"/>
          <w:i w:val="0"/>
          <w:color w:val="1A1A1A"/>
          <w:sz w:val="21"/>
        </w:rPr>
        <w:t>Immediately evaluate SB 96 — calculate what a 0.5% local sales tax would generate in Custer County given the volume of tourism and retail activity</w:t>
      </w:r>
    </w:p>
    <w:p>
      <w:pPr>
        <w:spacing w:before="20" w:after="40"/>
        <w:ind w:left="216"/>
      </w:pPr>
      <w:r>
        <w:rPr>
          <w:rFonts w:ascii="Calibri" w:hAnsi="Calibri"/>
          <w:b/>
          <w:i w:val="0"/>
          <w:color w:val="146B30"/>
          <w:sz w:val="21"/>
        </w:rPr>
        <w:t xml:space="preserve">✓  </w:t>
      </w:r>
      <w:r>
        <w:rPr>
          <w:rFonts w:ascii="Calibri" w:hAnsi="Calibri"/>
          <w:b w:val="0"/>
          <w:i w:val="0"/>
          <w:color w:val="1A1A1A"/>
          <w:sz w:val="21"/>
        </w:rPr>
        <w:t>Pursue SB 96 as the funding mechanism for rural fire departments — shifting the burden from homeowners to the visitor economy that benefits from those fire departments</w:t>
      </w:r>
    </w:p>
    <w:p>
      <w:pPr>
        <w:spacing w:before="20" w:after="40"/>
        <w:ind w:left="216"/>
      </w:pPr>
      <w:r>
        <w:rPr>
          <w:rFonts w:ascii="Calibri" w:hAnsi="Calibri"/>
          <w:b/>
          <w:i w:val="0"/>
          <w:color w:val="146B30"/>
          <w:sz w:val="21"/>
        </w:rPr>
        <w:t xml:space="preserve">✓  </w:t>
      </w:r>
      <w:r>
        <w:rPr>
          <w:rFonts w:ascii="Calibri" w:hAnsi="Calibri"/>
          <w:b w:val="0"/>
          <w:i w:val="0"/>
          <w:color w:val="1A1A1A"/>
          <w:sz w:val="21"/>
        </w:rPr>
        <w:t>Halt the Fire Opt-Out discussion until the SB 96 pathway is fully evaluated</w:t>
      </w:r>
    </w:p>
    <w:p>
      <w:pPr>
        <w:spacing w:before="20" w:after="40"/>
        <w:ind w:left="216"/>
      </w:pPr>
      <w:r>
        <w:rPr>
          <w:rFonts w:ascii="Calibri" w:hAnsi="Calibri"/>
          <w:b/>
          <w:i w:val="0"/>
          <w:color w:val="146B30"/>
          <w:sz w:val="21"/>
        </w:rPr>
        <w:t xml:space="preserve">✓  </w:t>
      </w:r>
      <w:r>
        <w:rPr>
          <w:rFonts w:ascii="Calibri" w:hAnsi="Calibri"/>
          <w:b w:val="0"/>
          <w:i w:val="0"/>
          <w:color w:val="1A1A1A"/>
          <w:sz w:val="21"/>
        </w:rPr>
        <w:t>Report to residents on how SB 245 credits will affect Custer County property tax bills specifically — not just statewide averages</w:t>
      </w:r>
    </w:p>
    <w:p>
      <w:pPr>
        <w:spacing w:before="20" w:after="40"/>
        <w:ind w:left="216"/>
      </w:pPr>
      <w:r>
        <w:rPr>
          <w:rFonts w:ascii="Calibri" w:hAnsi="Calibri"/>
          <w:b/>
          <w:i w:val="0"/>
          <w:color w:val="146B30"/>
          <w:sz w:val="21"/>
        </w:rPr>
        <w:t xml:space="preserve">✓  </w:t>
      </w:r>
      <w:r>
        <w:rPr>
          <w:rFonts w:ascii="Calibri" w:hAnsi="Calibri"/>
          <w:b w:val="0"/>
          <w:i w:val="0"/>
          <w:color w:val="1A1A1A"/>
          <w:sz w:val="21"/>
        </w:rPr>
        <w:t>Apply for the 50% green energy grant already identified for the Courthouse HVAC system, reducing infrastructure costs before seeking any new revenue</w:t>
      </w:r>
    </w:p>
    <w:p>
      <w:pPr>
        <w:spacing w:before="120" w:after="20"/>
      </w:pPr>
      <w:r>
        <w:rPr>
          <w:rFonts w:ascii="Calibri" w:hAnsi="Calibri"/>
          <w:b/>
          <w:i w:val="0"/>
          <w:color w:val="1A2E4A"/>
          <w:sz w:val="21"/>
        </w:rPr>
        <w:t>What residents should ask:</w:t>
      </w:r>
    </w:p>
    <w:p>
      <w:pPr>
        <w:spacing w:before="40" w:after="80"/>
      </w:pPr>
      <w:r>
        <w:rPr>
          <w:rFonts w:ascii="Calibri" w:hAnsi="Calibri"/>
          <w:b w:val="0"/>
          <w:i w:val="0"/>
          <w:color w:val="1A1A1A"/>
          <w:sz w:val="21"/>
        </w:rPr>
        <w:t>If you attend a public meeting where the Fire Opt-Out is being discussed, these are the questions the commission should be able to answer before any vote:</w:t>
      </w:r>
    </w:p>
    <w:p>
      <w:pPr>
        <w:spacing w:before="20" w:after="40"/>
        <w:ind w:left="216"/>
      </w:pPr>
      <w:r>
        <w:rPr>
          <w:rFonts w:ascii="Calibri" w:hAnsi="Calibri"/>
          <w:b/>
          <w:i w:val="0"/>
          <w:color w:val="B31B1B"/>
          <w:sz w:val="21"/>
        </w:rPr>
        <w:t xml:space="preserve">✗  </w:t>
      </w:r>
      <w:r>
        <w:rPr>
          <w:rFonts w:ascii="Calibri" w:hAnsi="Calibri"/>
          <w:b w:val="0"/>
          <w:i w:val="0"/>
          <w:color w:val="1A1A1A"/>
          <w:sz w:val="21"/>
        </w:rPr>
        <w:t>Have you calculated how much SB 96 would generate in Custer County? What is that number?</w:t>
      </w:r>
    </w:p>
    <w:p>
      <w:pPr>
        <w:spacing w:before="20" w:after="40"/>
        <w:ind w:left="216"/>
      </w:pPr>
      <w:r>
        <w:rPr>
          <w:rFonts w:ascii="Calibri" w:hAnsi="Calibri"/>
          <w:b/>
          <w:i w:val="0"/>
          <w:color w:val="B31B1B"/>
          <w:sz w:val="21"/>
        </w:rPr>
        <w:t xml:space="preserve">✗  </w:t>
      </w:r>
      <w:r>
        <w:rPr>
          <w:rFonts w:ascii="Calibri" w:hAnsi="Calibri"/>
          <w:b w:val="0"/>
          <w:i w:val="0"/>
          <w:color w:val="1A1A1A"/>
          <w:sz w:val="21"/>
        </w:rPr>
        <w:t>Why is a new property tax opt-out being pursued instead of the SB 96 sales tax mechanism that the governor and legislature specifically designed for this purpose?</w:t>
      </w:r>
    </w:p>
    <w:p>
      <w:pPr>
        <w:spacing w:before="20" w:after="40"/>
        <w:ind w:left="216"/>
      </w:pPr>
      <w:r>
        <w:rPr>
          <w:rFonts w:ascii="Calibri" w:hAnsi="Calibri"/>
          <w:b/>
          <w:i w:val="0"/>
          <w:color w:val="B31B1B"/>
          <w:sz w:val="21"/>
        </w:rPr>
        <w:t xml:space="preserve">✗  </w:t>
      </w:r>
      <w:r>
        <w:rPr>
          <w:rFonts w:ascii="Calibri" w:hAnsi="Calibri"/>
          <w:b w:val="0"/>
          <w:i w:val="0"/>
          <w:color w:val="1A1A1A"/>
          <w:sz w:val="21"/>
        </w:rPr>
        <w:t>What will the net effect be on homeowner property tax bills after SB 245 credits and the proposed Fire Opt-Out are both applied?</w:t>
      </w:r>
    </w:p>
    <w:p>
      <w:pPr>
        <w:spacing w:before="20" w:after="40"/>
        <w:ind w:left="216"/>
      </w:pPr>
      <w:r>
        <w:rPr>
          <w:rFonts w:ascii="Calibri" w:hAnsi="Calibri"/>
          <w:b/>
          <w:i w:val="0"/>
          <w:color w:val="B31B1B"/>
          <w:sz w:val="21"/>
        </w:rPr>
        <w:t xml:space="preserve">✗  </w:t>
      </w:r>
      <w:r>
        <w:rPr>
          <w:rFonts w:ascii="Calibri" w:hAnsi="Calibri"/>
          <w:b w:val="0"/>
          <w:i w:val="0"/>
          <w:color w:val="1A1A1A"/>
          <w:sz w:val="21"/>
        </w:rPr>
        <w:t>Has the commission received any formal analysis from the county auditor comparing these two funding options?</w:t>
      </w:r>
    </w:p>
    <w:tbl>
      <w:tblPr>
        <w:tblW w:type="auto" w:w="0"/>
        <w:jc w:val="left"/>
        <w:tblLook w:firstColumn="1" w:firstRow="1" w:lastColumn="0" w:lastRow="0" w:noHBand="0" w:noVBand="1" w:val="04A0"/>
        <w:tblW w:w="0" w:type="auto"/>
      </w:tblPr>
      <w:tblGrid>
        <w:gridCol w:w="9792"/>
      </w:tblGrid>
      <w:tr>
        <w:trPr>
          <w:trHeight w:val="216" w:hRule="exact"/>
        </w:trPr>
        <w:tc>
          <w:tcPr>
            <w:tcW w:type="dxa" w:w="9792"/>
            <w:shd w:val="clear" w:color="auto" w:fill="1A2E4A"/>
          </w:tcPr>
          <w:p>
            <w:pPr>
              <w:spacing w:before="0" w:after="0"/>
            </w:pPr>
          </w:p>
        </w:tc>
      </w:tr>
    </w:tbl>
    <w:p/>
    <w:p>
      <w:pPr>
        <w:spacing w:before="40" w:after="80"/>
      </w:pPr>
    </w:p>
    <w:tbl>
      <w:tblPr>
        <w:tblW w:type="auto" w:w="0"/>
        <w:jc w:val="left"/>
        <w:tblLook w:firstColumn="1" w:firstRow="1" w:lastColumn="0" w:lastRow="0" w:noHBand="0" w:noVBand="1" w:val="04A0"/>
        <w:tblW w:w="0" w:type="auto"/>
      </w:tblPr>
      <w:tblGrid>
        <w:gridCol w:w="9792"/>
      </w:tblGrid>
      <w:tr>
        <w:tc>
          <w:tcPr>
            <w:tcW w:type="dxa" w:w="9792"/>
            <w:shd w:val="clear" w:color="auto" w:fill="1A2E4A"/>
          </w:tcPr>
          <w:p>
            <w:pPr>
              <w:spacing w:before="80" w:after="80"/>
              <w:ind w:left="144"/>
            </w:pPr>
            <w:r>
              <w:rPr>
                <w:rFonts w:ascii="Calibri" w:hAnsi="Calibri"/>
                <w:b/>
                <w:i w:val="0"/>
                <w:color w:val="FFFFFF"/>
                <w:sz w:val="24"/>
              </w:rPr>
              <w:t>SECTION 6  |  THE FULL PICTURE: UNDERSTANDING YOUR CUSTER COUNTY TAX BURDEN</w:t>
            </w:r>
          </w:p>
        </w:tc>
      </w:tr>
    </w:tbl>
    <w:p/>
    <w:p>
      <w:pPr>
        <w:spacing w:before="40" w:after="80"/>
      </w:pPr>
      <w:r>
        <w:rPr>
          <w:rFonts w:ascii="Calibri" w:hAnsi="Calibri"/>
          <w:b w:val="0"/>
          <w:i w:val="0"/>
          <w:color w:val="1A1A1A"/>
          <w:sz w:val="21"/>
        </w:rPr>
        <w:t>Custer County property values have risen sharply in recent years, driven by Black Hills real estate demand and the influx of remote workers and retirees. When your assessed value rises, every mill levy on your bill produces a larger dollar amount — even if the rate itself stays the same. This is why many Custer County homeowners have seen their tax bills increase significantly even without any new levies being added.</w:t>
      </w:r>
    </w:p>
    <w:p>
      <w:pPr>
        <w:spacing w:before="40" w:after="80"/>
      </w:pPr>
      <w:r>
        <w:rPr>
          <w:rFonts w:ascii="Calibri" w:hAnsi="Calibri"/>
          <w:b w:val="0"/>
          <w:i w:val="0"/>
          <w:color w:val="1A1A1A"/>
          <w:sz w:val="21"/>
        </w:rPr>
        <w:t>The audit record of the county commission adds another layer of concern. Multiple audit cycles have identified budget overdrafts in violation of SDCL 7-21-25, cash reconciliation failures, and late financial reporting. These are not bookkeeping errors — they are board-level oversight failures. Asking for new revenue before demonstrating sound management of existing revenue is not a reasonable request.</w:t>
      </w:r>
    </w:p>
    <w:tbl>
      <w:tblPr>
        <w:tblStyle w:val="TableGrid"/>
        <w:tblW w:type="auto" w:w="0"/>
        <w:jc w:val="left"/>
        <w:tblLook w:firstColumn="1" w:firstRow="1" w:lastColumn="0" w:lastRow="0" w:noHBand="0" w:noVBand="1" w:val="04A0"/>
      </w:tblPr>
      <w:tblGrid>
        <w:gridCol w:w="4896"/>
        <w:gridCol w:w="4896"/>
      </w:tblGrid>
      <w:tr>
        <w:tc>
          <w:tcPr>
            <w:tcW w:type="dxa" w:w="4896"/>
            <w:shd w:val="clear" w:color="auto" w:fill="1A2E4A"/>
          </w:tcPr>
          <w:p>
            <w:pPr>
              <w:spacing w:before="40" w:after="40"/>
            </w:pPr>
            <w:r>
              <w:rPr>
                <w:rFonts w:ascii="Calibri" w:hAnsi="Calibri"/>
                <w:b/>
                <w:i w:val="0"/>
                <w:color w:val="FFFFFF"/>
                <w:sz w:val="20"/>
              </w:rPr>
              <w:t>Factor</w:t>
            </w:r>
          </w:p>
        </w:tc>
        <w:tc>
          <w:tcPr>
            <w:tcW w:type="dxa" w:w="4896"/>
            <w:shd w:val="clear" w:color="auto" w:fill="1A2E4A"/>
          </w:tcPr>
          <w:p>
            <w:pPr>
              <w:spacing w:before="40" w:after="40"/>
            </w:pPr>
            <w:r>
              <w:rPr>
                <w:rFonts w:ascii="Calibri" w:hAnsi="Calibri"/>
                <w:b/>
                <w:i w:val="0"/>
                <w:color w:val="FFFFFF"/>
                <w:sz w:val="20"/>
              </w:rPr>
              <w:t>What It Means for Your Wallet</w:t>
            </w:r>
          </w:p>
        </w:tc>
      </w:tr>
      <w:tr>
        <w:tc>
          <w:tcPr>
            <w:tcW w:type="dxa" w:w="4896"/>
            <w:shd w:val="clear" w:color="auto" w:fill="F4F5F7"/>
          </w:tcPr>
          <w:p>
            <w:pPr>
              <w:spacing w:before="40" w:after="40"/>
            </w:pPr>
            <w:r>
              <w:rPr>
                <w:rFonts w:ascii="Calibri" w:hAnsi="Calibri"/>
                <w:b/>
                <w:i w:val="0"/>
                <w:color w:val="1A2E4A"/>
                <w:sz w:val="20"/>
              </w:rPr>
              <w:t>SB 245 Relief</w:t>
            </w:r>
          </w:p>
        </w:tc>
        <w:tc>
          <w:tcPr>
            <w:tcW w:type="dxa" w:w="4896"/>
            <w:shd w:val="clear" w:color="auto" w:fill="F4F5F7"/>
          </w:tcPr>
          <w:p>
            <w:pPr>
              <w:spacing w:before="40" w:after="40"/>
            </w:pPr>
            <w:r>
              <w:rPr>
                <w:rFonts w:ascii="Calibri" w:hAnsi="Calibri"/>
                <w:b w:val="0"/>
                <w:i w:val="0"/>
                <w:color w:val="1A1A1A"/>
                <w:sz w:val="20"/>
              </w:rPr>
              <w:t>Up to 15% reduction on owner-occupied property tax bills (July 1, 2026)</w:t>
            </w:r>
          </w:p>
        </w:tc>
      </w:tr>
      <w:tr>
        <w:tc>
          <w:tcPr>
            <w:tcW w:type="dxa" w:w="4896"/>
            <w:shd w:val="clear" w:color="auto" w:fill="FFFFFF"/>
          </w:tcPr>
          <w:p>
            <w:pPr>
              <w:spacing w:before="40" w:after="40"/>
            </w:pPr>
            <w:r>
              <w:rPr>
                <w:rFonts w:ascii="Calibri" w:hAnsi="Calibri"/>
                <w:b/>
                <w:i w:val="0"/>
                <w:color w:val="1A2E4A"/>
                <w:sz w:val="20"/>
              </w:rPr>
              <w:t>SB 96 Opportunity</w:t>
            </w:r>
          </w:p>
        </w:tc>
        <w:tc>
          <w:tcPr>
            <w:tcW w:type="dxa" w:w="4896"/>
            <w:shd w:val="clear" w:color="auto" w:fill="FFFFFF"/>
          </w:tcPr>
          <w:p>
            <w:pPr>
              <w:spacing w:before="40" w:after="40"/>
            </w:pPr>
            <w:r>
              <w:rPr>
                <w:rFonts w:ascii="Calibri" w:hAnsi="Calibri"/>
                <w:b w:val="0"/>
                <w:i w:val="0"/>
                <w:color w:val="1A1A1A"/>
                <w:sz w:val="20"/>
              </w:rPr>
              <w:t>Up to 0.5% local sales tax option — 100% to property tax reduction</w:t>
            </w:r>
          </w:p>
        </w:tc>
      </w:tr>
      <w:tr>
        <w:tc>
          <w:tcPr>
            <w:tcW w:type="dxa" w:w="4896"/>
            <w:shd w:val="clear" w:color="auto" w:fill="F4F5F7"/>
          </w:tcPr>
          <w:p>
            <w:pPr>
              <w:spacing w:before="40" w:after="40"/>
            </w:pPr>
            <w:r>
              <w:rPr>
                <w:rFonts w:ascii="Calibri" w:hAnsi="Calibri"/>
                <w:b/>
                <w:i w:val="0"/>
                <w:color w:val="1A2E4A"/>
                <w:sz w:val="20"/>
              </w:rPr>
              <w:t>Fire Opt-Out Proposed</w:t>
            </w:r>
          </w:p>
        </w:tc>
        <w:tc>
          <w:tcPr>
            <w:tcW w:type="dxa" w:w="4896"/>
            <w:shd w:val="clear" w:color="auto" w:fill="F4F5F7"/>
          </w:tcPr>
          <w:p>
            <w:pPr>
              <w:spacing w:before="40" w:after="40"/>
            </w:pPr>
            <w:r>
              <w:rPr>
                <w:rFonts w:ascii="Calibri" w:hAnsi="Calibri"/>
                <w:b w:val="0"/>
                <w:i w:val="0"/>
                <w:color w:val="1A1A1A"/>
                <w:sz w:val="20"/>
              </w:rPr>
              <w:t>New additional levy on top of existing property tax bill</w:t>
            </w:r>
          </w:p>
        </w:tc>
      </w:tr>
      <w:tr>
        <w:tc>
          <w:tcPr>
            <w:tcW w:type="dxa" w:w="4896"/>
            <w:shd w:val="clear" w:color="auto" w:fill="FFFFFF"/>
          </w:tcPr>
          <w:p>
            <w:pPr>
              <w:spacing w:before="40" w:after="40"/>
            </w:pPr>
            <w:r>
              <w:rPr>
                <w:rFonts w:ascii="Calibri" w:hAnsi="Calibri"/>
                <w:b/>
                <w:i w:val="0"/>
                <w:color w:val="1A2E4A"/>
                <w:sz w:val="20"/>
              </w:rPr>
              <w:t>HVAC Grant Not Applied For</w:t>
            </w:r>
          </w:p>
        </w:tc>
        <w:tc>
          <w:tcPr>
            <w:tcW w:type="dxa" w:w="4896"/>
            <w:shd w:val="clear" w:color="auto" w:fill="FFFFFF"/>
          </w:tcPr>
          <w:p>
            <w:pPr>
              <w:spacing w:before="40" w:after="40"/>
            </w:pPr>
            <w:r>
              <w:rPr>
                <w:rFonts w:ascii="Calibri" w:hAnsi="Calibri"/>
                <w:b w:val="0"/>
                <w:i w:val="0"/>
                <w:color w:val="1A1A1A"/>
                <w:sz w:val="20"/>
              </w:rPr>
              <w:t>50% green energy grant identified Sept 2024 — no application filed</w:t>
            </w:r>
          </w:p>
        </w:tc>
      </w:tr>
      <w:tr>
        <w:tc>
          <w:tcPr>
            <w:tcW w:type="dxa" w:w="4896"/>
            <w:shd w:val="clear" w:color="auto" w:fill="F4F5F7"/>
          </w:tcPr>
          <w:p>
            <w:pPr>
              <w:spacing w:before="40" w:after="40"/>
            </w:pPr>
            <w:r>
              <w:rPr>
                <w:rFonts w:ascii="Calibri" w:hAnsi="Calibri"/>
                <w:b/>
                <w:i w:val="0"/>
                <w:color w:val="1A2E4A"/>
                <w:sz w:val="20"/>
              </w:rPr>
              <w:t>Audit Failures</w:t>
            </w:r>
          </w:p>
        </w:tc>
        <w:tc>
          <w:tcPr>
            <w:tcW w:type="dxa" w:w="4896"/>
            <w:shd w:val="clear" w:color="auto" w:fill="F4F5F7"/>
          </w:tcPr>
          <w:p>
            <w:pPr>
              <w:spacing w:before="40" w:after="40"/>
            </w:pPr>
            <w:r>
              <w:rPr>
                <w:rFonts w:ascii="Calibri" w:hAnsi="Calibri"/>
                <w:b w:val="0"/>
                <w:i w:val="0"/>
                <w:color w:val="1A1A1A"/>
                <w:sz w:val="20"/>
              </w:rPr>
              <w:t>Budget overdrafts, cash reconciliation failures (multiple years)</w:t>
            </w:r>
          </w:p>
        </w:tc>
      </w:tr>
      <w:tr>
        <w:tc>
          <w:tcPr>
            <w:tcW w:type="dxa" w:w="4896"/>
            <w:shd w:val="clear" w:color="auto" w:fill="FFFFFF"/>
          </w:tcPr>
          <w:p>
            <w:pPr>
              <w:spacing w:before="40" w:after="40"/>
            </w:pPr>
            <w:r>
              <w:rPr>
                <w:rFonts w:ascii="Calibri" w:hAnsi="Calibri"/>
                <w:b/>
                <w:i w:val="0"/>
                <w:color w:val="1A2E4A"/>
                <w:sz w:val="20"/>
              </w:rPr>
              <w:t>CSP Contract</w:t>
            </w:r>
          </w:p>
        </w:tc>
        <w:tc>
          <w:tcPr>
            <w:tcW w:type="dxa" w:w="4896"/>
            <w:shd w:val="clear" w:color="auto" w:fill="FFFFFF"/>
          </w:tcPr>
          <w:p>
            <w:pPr>
              <w:spacing w:before="40" w:after="40"/>
            </w:pPr>
            <w:r>
              <w:rPr>
                <w:rFonts w:ascii="Calibri" w:hAnsi="Calibri"/>
                <w:b w:val="0"/>
                <w:i w:val="0"/>
                <w:color w:val="1A1A1A"/>
                <w:sz w:val="20"/>
              </w:rPr>
              <w:t>Law enforcement paid below market rate — Sheriff warned of coverage gap</w:t>
            </w:r>
          </w:p>
        </w:tc>
      </w:tr>
      <w:tr>
        <w:tc>
          <w:tcPr>
            <w:tcW w:type="dxa" w:w="4896"/>
            <w:shd w:val="clear" w:color="auto" w:fill="F4F5F7"/>
          </w:tcPr>
          <w:p>
            <w:pPr>
              <w:spacing w:before="40" w:after="40"/>
            </w:pPr>
            <w:r>
              <w:rPr>
                <w:rFonts w:ascii="Calibri" w:hAnsi="Calibri"/>
                <w:b/>
                <w:i w:val="0"/>
                <w:color w:val="1A2E4A"/>
                <w:sz w:val="20"/>
              </w:rPr>
              <w:t>SRO Removed</w:t>
            </w:r>
          </w:p>
        </w:tc>
        <w:tc>
          <w:tcPr>
            <w:tcW w:type="dxa" w:w="4896"/>
            <w:shd w:val="clear" w:color="auto" w:fill="F4F5F7"/>
          </w:tcPr>
          <w:p>
            <w:pPr>
              <w:spacing w:before="40" w:after="40"/>
            </w:pPr>
            <w:r>
              <w:rPr>
                <w:rFonts w:ascii="Calibri" w:hAnsi="Calibri"/>
                <w:b w:val="0"/>
                <w:i w:val="0"/>
                <w:color w:val="1A1A1A"/>
                <w:sz w:val="20"/>
              </w:rPr>
              <w:t>Law enforcement removed from school building, January 2026</w:t>
            </w:r>
          </w:p>
        </w:tc>
      </w:tr>
    </w:tbl>
    <w:p/>
    <w:tbl>
      <w:tblPr>
        <w:tblW w:type="auto" w:w="0"/>
        <w:jc w:val="left"/>
        <w:tblLook w:firstColumn="1" w:firstRow="1" w:lastColumn="0" w:lastRow="0" w:noHBand="0" w:noVBand="1" w:val="04A0"/>
        <w:tblW w:w="0" w:type="auto"/>
      </w:tblPr>
      <w:tblGrid>
        <w:gridCol w:w="9792"/>
      </w:tblGrid>
      <w:tr>
        <w:trPr>
          <w:trHeight w:val="172" w:hRule="exact"/>
        </w:trPr>
        <w:tc>
          <w:tcPr>
            <w:tcW w:type="dxa" w:w="9792"/>
            <w:shd w:val="clear" w:color="auto" w:fill="1A2E4A"/>
          </w:tcPr>
          <w:p>
            <w:pPr>
              <w:spacing w:before="0" w:after="0"/>
            </w:pPr>
          </w:p>
        </w:tc>
      </w:tr>
    </w:tbl>
    <w:p/>
    <w:p/>
    <w:p>
      <w:pPr>
        <w:jc w:val="center"/>
      </w:pPr>
      <w:r>
        <w:rPr>
          <w:rFonts w:ascii="Calibri" w:hAnsi="Calibri"/>
          <w:b/>
          <w:i w:val="0"/>
          <w:color w:val="1A2E4A"/>
          <w:sz w:val="22"/>
        </w:rPr>
        <w:t>Property tax relief is coming to South Dakota. It is already signed into law. The only question is whether your county commission will use the tools the state has given them — or ask you to pay more anyway.</w:t>
      </w:r>
    </w:p>
    <w:p/>
    <w:p>
      <w:pPr>
        <w:jc w:val="center"/>
      </w:pPr>
      <w:r>
        <w:rPr>
          <w:rFonts w:ascii="Calibri" w:hAnsi="Calibri"/>
          <w:b w:val="0"/>
          <w:i/>
          <w:color w:val="1F61AC"/>
          <w:sz w:val="20"/>
        </w:rPr>
        <w:t>Search Custer County Commission meeting minutes yourself — free — at  sealsd.com</w:t>
      </w:r>
    </w:p>
    <w:tbl>
      <w:tblPr>
        <w:tblW w:type="auto" w:w="0"/>
        <w:jc w:val="left"/>
        <w:tblLook w:firstColumn="1" w:firstRow="1" w:lastColumn="0" w:lastRow="0" w:noHBand="0" w:noVBand="1" w:val="04A0"/>
        <w:tblW w:w="0" w:type="auto"/>
      </w:tblPr>
      <w:tblGrid>
        <w:gridCol w:w="9792"/>
      </w:tblGrid>
      <w:tr>
        <w:trPr>
          <w:trHeight w:val="115" w:hRule="exact"/>
        </w:trPr>
        <w:tc>
          <w:tcPr>
            <w:tcW w:type="dxa" w:w="9792"/>
            <w:shd w:val="clear" w:color="auto" w:fill="1F61AC"/>
          </w:tcPr>
          <w:p>
            <w:pPr>
              <w:spacing w:before="0" w:after="0"/>
            </w:pPr>
          </w:p>
        </w:tc>
      </w:tr>
    </w:tbl>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