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left"/>
        <w:tblLook w:firstColumn="1" w:firstRow="1" w:lastColumn="0" w:lastRow="0" w:noHBand="0" w:noVBand="1" w:val="04A0"/>
        <w:tblW w:w="0" w:type="auto"/>
      </w:tblPr>
      <w:tblGrid>
        <w:gridCol w:w="9792"/>
      </w:tblGrid>
      <w:tr>
        <w:trPr>
          <w:trHeight w:val="503" w:hRule="exact"/>
        </w:trPr>
        <w:tc>
          <w:tcPr>
            <w:tcW w:type="dxa" w:w="9792"/>
            <w:shd w:val="clear" w:color="auto" w:fill="1A2E4A"/>
          </w:tcPr>
          <w:p>
            <w:pPr>
              <w:spacing w:before="0" w:after="0"/>
            </w:pPr>
          </w:p>
        </w:tc>
      </w:tr>
    </w:tbl>
    <w:p/>
    <w:p>
      <w:pPr>
        <w:spacing w:before="80" w:after="40"/>
        <w:jc w:val="center"/>
      </w:pPr>
      <w:r>
        <w:rPr>
          <w:rFonts w:ascii="Calibri" w:hAnsi="Calibri"/>
          <w:b/>
          <w:i w:val="0"/>
          <w:color w:val="1A2E4A"/>
          <w:sz w:val="36"/>
        </w:rPr>
        <w:t>CUSTER COUNTY SCHOOL FUNDING: AN ACCOUNTABILITY REPORT</w:t>
      </w:r>
    </w:p>
    <w:p>
      <w:pPr>
        <w:spacing w:before="0" w:after="40"/>
        <w:jc w:val="center"/>
      </w:pPr>
      <w:r>
        <w:rPr>
          <w:rFonts w:ascii="Calibri" w:hAnsi="Calibri"/>
          <w:b w:val="0"/>
          <w:i/>
          <w:color w:val="505A68"/>
          <w:sz w:val="24"/>
        </w:rPr>
        <w:t>Where Your Property Tax Dollars Go to School — And What You Are Getting For Them</w:t>
      </w:r>
    </w:p>
    <w:p>
      <w:pPr>
        <w:spacing w:after="40"/>
        <w:jc w:val="center"/>
      </w:pPr>
      <w:r>
        <w:rPr>
          <w:rFonts w:ascii="Calibri" w:hAnsi="Calibri"/>
          <w:b w:val="0"/>
          <w:i/>
          <w:color w:val="505A68"/>
          <w:sz w:val="20"/>
        </w:rPr>
        <w:t>Custer School District 16-1  |  Prepared April 2026</w:t>
      </w:r>
    </w:p>
    <w:tbl>
      <w:tblPr>
        <w:tblW w:type="auto" w:w="0"/>
        <w:jc w:val="left"/>
        <w:tblLook w:firstColumn="1" w:firstRow="1" w:lastColumn="0" w:lastRow="0" w:noHBand="0" w:noVBand="1" w:val="04A0"/>
        <w:tblW w:w="0" w:type="auto"/>
      </w:tblPr>
      <w:tblGrid>
        <w:gridCol w:w="9792"/>
      </w:tblGrid>
      <w:tr>
        <w:trPr>
          <w:trHeight w:val="115" w:hRule="exact"/>
        </w:trPr>
        <w:tc>
          <w:tcPr>
            <w:tcW w:type="dxa" w:w="9792"/>
            <w:shd w:val="clear" w:color="auto" w:fill="1F61AC"/>
          </w:tcPr>
          <w:p>
            <w:pPr>
              <w:spacing w:before="0" w:after="0"/>
            </w:pPr>
          </w:p>
        </w:tc>
      </w:tr>
    </w:tbl>
    <w:p/>
    <w:p/>
    <w:tbl>
      <w:tblPr>
        <w:tblW w:type="auto" w:w="0"/>
        <w:jc w:val="left"/>
        <w:tblLook w:firstColumn="1" w:firstRow="1" w:lastColumn="0" w:lastRow="0" w:noHBand="0" w:noVBand="1" w:val="04A0"/>
        <w:tblW w:w="0" w:type="auto"/>
      </w:tblPr>
      <w:tblGrid>
        <w:gridCol w:w="9792"/>
      </w:tblGrid>
      <w:tr>
        <w:tc>
          <w:tcPr>
            <w:tcW w:type="dxa" w:w="9792"/>
            <w:shd w:val="clear" w:color="auto" w:fill="F4F5F7"/>
            <w:tcBorders>
              <w:top w:val="single" w:sz="8" w:space="0" w:color="D0D5DD"/>
              <w:left w:val="single" w:sz="8" w:space="0" w:color="D0D5DD"/>
              <w:bottom w:val="single" w:sz="8" w:space="0" w:color="D0D5DD"/>
              <w:right w:val="single" w:sz="8" w:space="0" w:color="D0D5DD"/>
            </w:tcBorders>
          </w:tcPr>
          <w:p>
            <w:pPr>
              <w:spacing w:before="80"/>
              <w:ind w:left="144"/>
            </w:pPr>
            <w:r>
              <w:rPr>
                <w:rFonts w:ascii="Calibri" w:hAnsi="Calibri"/>
                <w:b/>
                <w:i w:val="0"/>
                <w:color w:val="1A2E4A"/>
                <w:sz w:val="18"/>
              </w:rPr>
              <w:t>WHERE THIS INFORMATION COMES FROM</w:t>
            </w:r>
          </w:p>
          <w:p>
            <w:pPr>
              <w:spacing w:before="20" w:after="40"/>
              <w:ind w:left="144"/>
            </w:pPr>
            <w:r>
              <w:rPr>
                <w:rFonts w:ascii="Calibri" w:hAnsi="Calibri"/>
                <w:b w:val="0"/>
                <w:i w:val="0"/>
                <w:color w:val="505A68"/>
                <w:sz w:val="18"/>
              </w:rPr>
              <w:t>This document draws on four public sources:</w:t>
            </w:r>
          </w:p>
          <w:p>
            <w:pPr>
              <w:spacing w:before="20" w:after="40"/>
              <w:ind w:left="144"/>
            </w:pPr>
            <w:r>
              <w:rPr>
                <w:rFonts w:ascii="Calibri" w:hAnsi="Calibri"/>
                <w:b w:val="0"/>
                <w:i w:val="0"/>
                <w:color w:val="505A68"/>
                <w:sz w:val="18"/>
              </w:rPr>
              <w:t>1. Custer County Commission Meeting Minutes (2018–2026) — official public records at custercountysd.com/commission-minutes/, digitized and searchable for free at SEAL SD (sealsd.com).</w:t>
            </w:r>
          </w:p>
          <w:p>
            <w:pPr>
              <w:spacing w:before="20" w:after="40"/>
              <w:ind w:left="144"/>
            </w:pPr>
            <w:r>
              <w:rPr>
                <w:rFonts w:ascii="Calibri" w:hAnsi="Calibri"/>
                <w:b w:val="0"/>
                <w:i w:val="0"/>
                <w:color w:val="505A68"/>
                <w:sz w:val="18"/>
              </w:rPr>
              <w:t>2. South Dakota Department of Education — enrollment, ADM formula, state aid, and per-pupil spending data. Available at doe.sd.gov.</w:t>
            </w:r>
          </w:p>
          <w:p>
            <w:pPr>
              <w:spacing w:before="20" w:after="40"/>
              <w:ind w:left="144"/>
            </w:pPr>
            <w:r>
              <w:rPr>
                <w:rFonts w:ascii="Calibri" w:hAnsi="Calibri"/>
                <w:b w:val="0"/>
                <w:i w:val="0"/>
                <w:color w:val="505A68"/>
                <w:sz w:val="18"/>
              </w:rPr>
              <w:t>3. National Center for Education Statistics (NCES) — school district financial data. Available at nces.ed.gov.</w:t>
            </w:r>
          </w:p>
          <w:p>
            <w:pPr>
              <w:spacing w:before="20" w:after="40"/>
              <w:ind w:left="144"/>
            </w:pPr>
            <w:r>
              <w:rPr>
                <w:rFonts w:ascii="Calibri" w:hAnsi="Calibri"/>
                <w:b w:val="0"/>
                <w:i w:val="0"/>
                <w:color w:val="505A68"/>
                <w:sz w:val="18"/>
              </w:rPr>
              <w:t>4. U.S. News Education, GreatSchools, and SD DOE report cards — academic performance data for Custer School District 16-1 and Custer High School.</w:t>
            </w:r>
          </w:p>
          <w:p>
            <w:pPr>
              <w:spacing w:before="20" w:after="40"/>
              <w:ind w:left="144"/>
            </w:pPr>
            <w:r>
              <w:rPr>
                <w:rFonts w:ascii="Calibri" w:hAnsi="Calibri"/>
                <w:b w:val="0"/>
                <w:i w:val="0"/>
                <w:color w:val="505A68"/>
                <w:sz w:val="18"/>
              </w:rPr>
              <w:t>All figures are from official government sources. No partisan projections. Any resident can verify every fact in this document using the sources listed above.</w:t>
            </w:r>
          </w:p>
          <w:p>
            <w:pPr>
              <w:spacing w:after="40"/>
            </w:pPr>
          </w:p>
        </w:tc>
      </w:tr>
    </w:tbl>
    <w:p/>
    <w:tbl>
      <w:tblPr>
        <w:tblW w:type="auto" w:w="0"/>
        <w:jc w:val="left"/>
        <w:tblLook w:firstColumn="1" w:firstRow="1" w:lastColumn="0" w:lastRow="0" w:noHBand="0" w:noVBand="1" w:val="04A0"/>
        <w:tblW w:w="0" w:type="auto"/>
      </w:tblPr>
      <w:tblGrid>
        <w:gridCol w:w="9792"/>
      </w:tblGrid>
      <w:tr>
        <w:tc>
          <w:tcPr>
            <w:tcW w:type="dxa" w:w="9792"/>
            <w:shd w:val="clear" w:color="auto" w:fill="1A2E4A"/>
          </w:tcPr>
          <w:p>
            <w:pPr>
              <w:spacing w:before="80" w:after="80"/>
              <w:ind w:left="144"/>
            </w:pPr>
            <w:r>
              <w:rPr>
                <w:rFonts w:ascii="Calibri" w:hAnsi="Calibri"/>
                <w:b/>
                <w:i w:val="0"/>
                <w:color w:val="FFFFFF"/>
                <w:sz w:val="24"/>
              </w:rPr>
              <w:t>SECTION 1  |  THE SHORT VERSION</w:t>
            </w:r>
          </w:p>
        </w:tc>
      </w:tr>
    </w:tbl>
    <w:p/>
    <w:tbl>
      <w:tblPr>
        <w:tblW w:type="auto" w:w="0"/>
        <w:jc w:val="left"/>
        <w:tblLook w:firstColumn="1" w:firstRow="1" w:lastColumn="0" w:lastRow="0" w:noHBand="0" w:noVBand="1" w:val="04A0"/>
        <w:tblW w:w="0" w:type="auto"/>
      </w:tblPr>
      <w:tblGrid>
        <w:gridCol w:w="9792"/>
      </w:tblGrid>
      <w:tr>
        <w:tc>
          <w:tcPr>
            <w:tcW w:type="dxa" w:w="9792"/>
            <w:shd w:val="clear" w:color="auto" w:fill="E8EDF5"/>
            <w:tcBorders>
              <w:top w:val="single" w:sz="12" w:space="0" w:color="1F61AC"/>
              <w:left w:val="single" w:sz="12" w:space="0" w:color="1F61AC"/>
              <w:bottom w:val="single" w:sz="12" w:space="0" w:color="1F61AC"/>
              <w:right w:val="single" w:sz="12" w:space="0" w:color="1F61AC"/>
            </w:tcBorders>
          </w:tcPr>
          <w:p>
            <w:pPr>
              <w:spacing w:before="80"/>
              <w:ind w:left="144"/>
            </w:pPr>
            <w:r>
              <w:rPr>
                <w:rFonts w:ascii="Calibri" w:hAnsi="Calibri"/>
                <w:b/>
                <w:i w:val="0"/>
                <w:color w:val="1A2E4A"/>
                <w:sz w:val="21"/>
              </w:rPr>
              <w:t>WHAT YOU NEED TO KNOW</w:t>
            </w:r>
          </w:p>
          <w:p>
            <w:pPr>
              <w:spacing w:before="20" w:after="20"/>
              <w:ind w:left="144"/>
            </w:pPr>
            <w:r>
              <w:rPr>
                <w:rFonts w:ascii="Calibri" w:hAnsi="Calibri"/>
                <w:b w:val="0"/>
                <w:i w:val="0"/>
                <w:color w:val="1A1A1A"/>
                <w:sz w:val="21"/>
              </w:rPr>
              <w:t>The school levy is typically the largest single line item on a Custer County property tax bill.</w:t>
            </w:r>
          </w:p>
          <w:p>
            <w:pPr>
              <w:spacing w:before="20" w:after="20"/>
              <w:ind w:left="144"/>
            </w:pPr>
            <w:r>
              <w:rPr>
                <w:rFonts w:ascii="Calibri" w:hAnsi="Calibri"/>
                <w:b w:val="0"/>
                <w:i w:val="0"/>
                <w:color w:val="1A1A1A"/>
                <w:sz w:val="21"/>
              </w:rPr>
            </w:r>
          </w:p>
          <w:p>
            <w:pPr>
              <w:spacing w:before="20" w:after="20"/>
              <w:ind w:left="144"/>
            </w:pPr>
            <w:r>
              <w:rPr>
                <w:rFonts w:ascii="Calibri" w:hAnsi="Calibri"/>
                <w:b w:val="0"/>
                <w:i w:val="0"/>
                <w:color w:val="1A1A1A"/>
                <w:sz w:val="21"/>
              </w:rPr>
              <w:t>Custer School District 16-1 serves approximately 906 students across six schools.</w:t>
            </w:r>
          </w:p>
          <w:p>
            <w:pPr>
              <w:spacing w:before="20" w:after="20"/>
              <w:ind w:left="144"/>
            </w:pPr>
            <w:r>
              <w:rPr>
                <w:rFonts w:ascii="Calibri" w:hAnsi="Calibri"/>
                <w:b w:val="0"/>
                <w:i w:val="0"/>
                <w:color w:val="1A1A1A"/>
                <w:sz w:val="21"/>
              </w:rPr>
            </w:r>
          </w:p>
          <w:p>
            <w:pPr>
              <w:spacing w:before="20" w:after="20"/>
              <w:ind w:left="144"/>
            </w:pPr>
            <w:r>
              <w:rPr>
                <w:rFonts w:ascii="Calibri" w:hAnsi="Calibri"/>
                <w:b w:val="0"/>
                <w:i w:val="0"/>
                <w:color w:val="1A1A1A"/>
                <w:sz w:val="21"/>
              </w:rPr>
              <w:t>The district spends $14,157 per student per year — more than the basic state need formula.</w:t>
            </w:r>
          </w:p>
          <w:p>
            <w:pPr>
              <w:spacing w:before="20" w:after="20"/>
              <w:ind w:left="144"/>
            </w:pPr>
            <w:r>
              <w:rPr>
                <w:rFonts w:ascii="Calibri" w:hAnsi="Calibri"/>
                <w:b w:val="0"/>
                <w:i w:val="0"/>
                <w:color w:val="1A1A1A"/>
                <w:sz w:val="21"/>
              </w:rPr>
            </w:r>
          </w:p>
          <w:p>
            <w:pPr>
              <w:spacing w:before="20" w:after="20"/>
              <w:ind w:left="144"/>
            </w:pPr>
            <w:r>
              <w:rPr>
                <w:rFonts w:ascii="Calibri" w:hAnsi="Calibri"/>
                <w:b w:val="0"/>
                <w:i w:val="0"/>
                <w:color w:val="1A1A1A"/>
                <w:sz w:val="21"/>
              </w:rPr>
              <w:t>Custer School District receives NO state aid. That means local property taxpayers fund essentially the entire school budget. The state formula treats the district as 'property tax rich.'</w:t>
            </w:r>
          </w:p>
          <w:p>
            <w:pPr>
              <w:spacing w:before="20" w:after="20"/>
              <w:ind w:left="144"/>
            </w:pPr>
            <w:r>
              <w:rPr>
                <w:rFonts w:ascii="Calibri" w:hAnsi="Calibri"/>
                <w:b w:val="0"/>
                <w:i w:val="0"/>
                <w:color w:val="1A1A1A"/>
                <w:sz w:val="21"/>
              </w:rPr>
            </w:r>
          </w:p>
          <w:p>
            <w:pPr>
              <w:spacing w:before="20" w:after="20"/>
              <w:ind w:left="144"/>
            </w:pPr>
            <w:r>
              <w:rPr>
                <w:rFonts w:ascii="Calibri" w:hAnsi="Calibri"/>
                <w:b w:val="0"/>
                <w:i w:val="0"/>
                <w:color w:val="1A1A1A"/>
                <w:sz w:val="21"/>
              </w:rPr>
              <w:t>Academic performance is above the state average but not exceptional: 42% of students are proficient in math, 49% in reading. Custer High School ranks 24th out of 166 high schools statewide.</w:t>
            </w:r>
          </w:p>
          <w:p>
            <w:pPr>
              <w:spacing w:before="20" w:after="20"/>
              <w:ind w:left="144"/>
            </w:pPr>
            <w:r>
              <w:rPr>
                <w:rFonts w:ascii="Calibri" w:hAnsi="Calibri"/>
                <w:b w:val="0"/>
                <w:i w:val="0"/>
                <w:color w:val="1A1A1A"/>
                <w:sz w:val="21"/>
              </w:rPr>
            </w:r>
          </w:p>
          <w:p>
            <w:pPr>
              <w:spacing w:before="20" w:after="20"/>
              <w:ind w:left="144"/>
            </w:pPr>
            <w:r>
              <w:rPr>
                <w:rFonts w:ascii="Calibri" w:hAnsi="Calibri"/>
                <w:b w:val="0"/>
                <w:i w:val="0"/>
                <w:color w:val="1A1A1A"/>
                <w:sz w:val="21"/>
              </w:rPr>
              <w:t>As of January 2026, law enforcement was removed from the school building — the School Resource Officer position was eliminated as a budget priority.</w:t>
            </w:r>
          </w:p>
          <w:p>
            <w:pPr>
              <w:spacing w:before="20" w:after="20"/>
              <w:ind w:left="144"/>
            </w:pPr>
            <w:r>
              <w:rPr>
                <w:rFonts w:ascii="Calibri" w:hAnsi="Calibri"/>
                <w:b w:val="0"/>
                <w:i w:val="0"/>
                <w:color w:val="1A1A1A"/>
                <w:sz w:val="21"/>
              </w:rPr>
            </w:r>
          </w:p>
          <w:p>
            <w:pPr>
              <w:spacing w:before="20" w:after="20"/>
              <w:ind w:left="144"/>
            </w:pPr>
            <w:r>
              <w:rPr>
                <w:rFonts w:ascii="Calibri" w:hAnsi="Calibri"/>
                <w:b w:val="0"/>
                <w:i w:val="0"/>
                <w:color w:val="1A1A1A"/>
                <w:sz w:val="21"/>
              </w:rPr>
              <w:t>Now the county is asking homeowners to pay a new Fire Opt-Out levy on top of everything else — while state property tax relief is already on the way.</w:t>
            </w:r>
          </w:p>
          <w:p>
            <w:pPr>
              <w:spacing w:after="40"/>
            </w:pPr>
          </w:p>
        </w:tc>
      </w:tr>
    </w:tbl>
    <w:p/>
    <w:tbl>
      <w:tblPr>
        <w:tblW w:type="auto" w:w="0"/>
        <w:jc w:val="left"/>
        <w:tblLook w:firstColumn="1" w:firstRow="1" w:lastColumn="0" w:lastRow="0" w:noHBand="0" w:noVBand="1" w:val="04A0"/>
        <w:tblW w:w="0" w:type="auto"/>
      </w:tblPr>
      <w:tblGrid>
        <w:gridCol w:w="9792"/>
      </w:tblGrid>
      <w:tr>
        <w:tc>
          <w:tcPr>
            <w:tcW w:type="dxa" w:w="9792"/>
            <w:shd w:val="clear" w:color="auto" w:fill="1A2E4A"/>
          </w:tcPr>
          <w:p>
            <w:pPr>
              <w:spacing w:before="80" w:after="80"/>
              <w:ind w:left="144"/>
            </w:pPr>
            <w:r>
              <w:rPr>
                <w:rFonts w:ascii="Calibri" w:hAnsi="Calibri"/>
                <w:b/>
                <w:i w:val="0"/>
                <w:color w:val="FFFFFF"/>
                <w:sz w:val="24"/>
              </w:rPr>
              <w:t>SECTION 2  |  HOW SOUTH DAKOTA SCHOOL FUNDING ACTUALLY WORKS</w:t>
            </w:r>
          </w:p>
        </w:tc>
      </w:tr>
    </w:tbl>
    <w:p/>
    <w:p>
      <w:pPr>
        <w:spacing w:before="40" w:after="80"/>
      </w:pPr>
      <w:r>
        <w:rPr>
          <w:rFonts w:ascii="Calibri" w:hAnsi="Calibri"/>
          <w:b w:val="0"/>
          <w:i w:val="0"/>
          <w:color w:val="1A1A1A"/>
          <w:sz w:val="21"/>
        </w:rPr>
        <w:t>South Dakota funds its public schools through a combination of state aid and local property taxes. Understanding how this system works is essential to understanding why your tax bill looks the way it does.</w:t>
      </w:r>
    </w:p>
    <w:p>
      <w:pPr>
        <w:spacing w:before="160" w:after="40"/>
      </w:pPr>
      <w:r>
        <w:rPr>
          <w:rFonts w:ascii="Calibri" w:hAnsi="Calibri"/>
          <w:b/>
          <w:i w:val="0"/>
          <w:color w:val="1A2E4A"/>
          <w:sz w:val="23"/>
        </w:rPr>
        <w:t>The State Formula (ADM — Average Daily Membership)</w:t>
      </w:r>
    </w:p>
    <w:p>
      <w:pPr>
        <w:spacing w:before="40" w:after="80"/>
      </w:pPr>
      <w:r>
        <w:rPr>
          <w:rFonts w:ascii="Calibri" w:hAnsi="Calibri"/>
          <w:b w:val="0"/>
          <w:i w:val="0"/>
          <w:color w:val="1A1A1A"/>
          <w:sz w:val="21"/>
        </w:rPr>
        <w:t>The state calculates how much each school district 'needs' based on the number of students enrolled — called Average Daily Membership, or ADM. For fiscal year 2026, the state's need formula is set at $62,821.19 per student.</w:t>
      </w:r>
    </w:p>
    <w:p>
      <w:pPr>
        <w:spacing w:before="40" w:after="80"/>
      </w:pPr>
      <w:r>
        <w:rPr>
          <w:rFonts w:ascii="Calibri" w:hAnsi="Calibri"/>
          <w:b w:val="0"/>
          <w:i w:val="0"/>
          <w:color w:val="1A1A1A"/>
          <w:sz w:val="21"/>
        </w:rPr>
        <w:t>Here is how the formula works in plain language:</w:t>
      </w:r>
    </w:p>
    <w:p>
      <w:pPr>
        <w:pStyle w:val="ListBullet"/>
        <w:spacing w:before="20" w:after="40"/>
        <w:ind w:left="432"/>
      </w:pPr>
      <w:r>
        <w:rPr>
          <w:rFonts w:ascii="Calibri" w:hAnsi="Calibri"/>
          <w:b w:val="0"/>
          <w:i w:val="0"/>
          <w:color w:val="1A1A1A"/>
          <w:sz w:val="21"/>
        </w:rPr>
        <w:t>Step 1: Calculate what the district 'needs' — basically enrollment multiplied by the state's per-pupil figure.</w:t>
      </w:r>
    </w:p>
    <w:p>
      <w:pPr>
        <w:pStyle w:val="ListBullet"/>
        <w:spacing w:before="20" w:after="40"/>
        <w:ind w:left="432"/>
      </w:pPr>
      <w:r>
        <w:rPr>
          <w:rFonts w:ascii="Calibri" w:hAnsi="Calibri"/>
          <w:b w:val="0"/>
          <w:i w:val="0"/>
          <w:color w:val="1A1A1A"/>
          <w:sz w:val="21"/>
        </w:rPr>
        <w:t>Step 2: Calculate how much the district can raise from property taxes at standard levy rates.</w:t>
      </w:r>
    </w:p>
    <w:p>
      <w:pPr>
        <w:pStyle w:val="ListBullet"/>
        <w:spacing w:before="20" w:after="40"/>
        <w:ind w:left="432"/>
      </w:pPr>
      <w:r>
        <w:rPr>
          <w:rFonts w:ascii="Calibri" w:hAnsi="Calibri"/>
          <w:b w:val="0"/>
          <w:i w:val="0"/>
          <w:color w:val="1A1A1A"/>
          <w:sz w:val="21"/>
        </w:rPr>
        <w:t>Step 3: State aid fills the gap — the state pays the difference between what the district needs and what it can raise locally.</w:t>
      </w:r>
    </w:p>
    <w:p>
      <w:pPr>
        <w:pStyle w:val="ListBullet"/>
        <w:spacing w:before="20" w:after="40"/>
        <w:ind w:left="432"/>
      </w:pPr>
      <w:r>
        <w:rPr>
          <w:rFonts w:ascii="Calibri" w:hAnsi="Calibri"/>
          <w:b w:val="0"/>
          <w:i w:val="0"/>
          <w:color w:val="1A1A1A"/>
          <w:sz w:val="21"/>
        </w:rPr>
        <w:t>Step 4: If local property taxes already cover the full need figure, the state pays nothing.</w:t>
      </w:r>
    </w:p>
    <w:p>
      <w:pPr>
        <w:spacing w:before="40" w:after="80"/>
      </w:pPr>
      <w:r>
        <w:rPr>
          <w:rFonts w:ascii="Calibri" w:hAnsi="Calibri"/>
          <w:b w:val="0"/>
          <w:i w:val="0"/>
          <w:color w:val="1A1A1A"/>
          <w:sz w:val="21"/>
        </w:rPr>
        <w:t>That last point is critical for Custer County residents. When your home values are high and the assessed value of property in the district is high, the formula assumes you can fund the school locally. The state does not send additional aid. Every dollar of school funding comes out of local property taxes — which means out of your pocket.</w:t>
      </w:r>
    </w:p>
    <w:p>
      <w:pPr>
        <w:spacing w:before="160" w:after="40"/>
      </w:pPr>
      <w:r>
        <w:rPr>
          <w:rFonts w:ascii="Calibri" w:hAnsi="Calibri"/>
          <w:b/>
          <w:i w:val="0"/>
          <w:color w:val="B31B1B"/>
          <w:sz w:val="23"/>
        </w:rPr>
        <w:t>What 'No State Aid' Actually Means</w:t>
      </w:r>
    </w:p>
    <w:p>
      <w:pPr>
        <w:spacing w:before="40" w:after="80"/>
      </w:pPr>
      <w:r>
        <w:rPr>
          <w:rFonts w:ascii="Calibri" w:hAnsi="Calibri"/>
          <w:b w:val="0"/>
          <w:i w:val="0"/>
          <w:color w:val="1A1A1A"/>
          <w:sz w:val="21"/>
        </w:rPr>
        <w:t>Custer School District 16-1 receives no state aid under the current formula. This is not a penalty — it is a reflection of the district's assessed property wealth relative to student population. Other Black Hills districts in the same situation include Lead-Deadwood 40-1 and Hill City 51-2.</w:t>
      </w:r>
    </w:p>
    <w:p>
      <w:pPr>
        <w:spacing w:before="40" w:after="80"/>
      </w:pPr>
      <w:r>
        <w:rPr>
          <w:rFonts w:ascii="Calibri" w:hAnsi="Calibri"/>
          <w:b w:val="0"/>
          <w:i w:val="0"/>
          <w:color w:val="1A1A1A"/>
          <w:sz w:val="21"/>
        </w:rPr>
        <w:t>But here is the accountability question: if your district is considered 'property tax rich' by the state formula — meaning the state believes your property values are sufficient to fund the school — then the question is not whether there is enough money. The question is whether that money is being spent effectively and whether residents are getting clear accountability for what they are paying.</w:t>
      </w:r>
    </w:p>
    <w:tbl>
      <w:tblPr>
        <w:tblW w:type="auto" w:w="0"/>
        <w:jc w:val="left"/>
        <w:tblLook w:firstColumn="1" w:firstRow="1" w:lastColumn="0" w:lastRow="0" w:noHBand="0" w:noVBand="1" w:val="04A0"/>
        <w:tblW w:w="0" w:type="auto"/>
      </w:tblPr>
      <w:tblGrid>
        <w:gridCol w:w="9792"/>
      </w:tblGrid>
      <w:tr>
        <w:tc>
          <w:tcPr>
            <w:tcW w:type="dxa" w:w="9792"/>
            <w:shd w:val="clear" w:color="auto" w:fill="1A2E4A"/>
          </w:tcPr>
          <w:p>
            <w:pPr>
              <w:spacing w:before="80" w:after="80"/>
              <w:ind w:left="144"/>
            </w:pPr>
            <w:r>
              <w:rPr>
                <w:rFonts w:ascii="Calibri" w:hAnsi="Calibri"/>
                <w:b/>
                <w:i w:val="0"/>
                <w:color w:val="FFFFFF"/>
                <w:sz w:val="24"/>
              </w:rPr>
              <w:t>SECTION 3  |  CUSTER SCHOOL DISTRICT 16-1: THE NUMBERS</w:t>
            </w:r>
          </w:p>
        </w:tc>
      </w:tr>
    </w:tbl>
    <w:p/>
    <w:tbl>
      <w:tblPr>
        <w:tblStyle w:val="TableGrid"/>
        <w:tblW w:type="auto" w:w="0"/>
        <w:jc w:val="left"/>
        <w:tblLook w:firstColumn="1" w:firstRow="1" w:lastColumn="0" w:lastRow="0" w:noHBand="0" w:noVBand="1" w:val="04A0"/>
      </w:tblPr>
      <w:tblGrid>
        <w:gridCol w:w="4896"/>
        <w:gridCol w:w="4896"/>
      </w:tblGrid>
      <w:tr>
        <w:tc>
          <w:tcPr>
            <w:tcW w:type="dxa" w:w="4896"/>
            <w:shd w:val="clear" w:color="auto" w:fill="1A2E4A"/>
          </w:tcPr>
          <w:p>
            <w:pPr>
              <w:spacing w:before="40" w:after="40"/>
            </w:pPr>
            <w:r>
              <w:rPr>
                <w:rFonts w:ascii="Calibri" w:hAnsi="Calibri"/>
                <w:b/>
                <w:i w:val="0"/>
                <w:color w:val="FFFFFF"/>
                <w:sz w:val="20"/>
              </w:rPr>
              <w:t>Metric</w:t>
            </w:r>
          </w:p>
        </w:tc>
        <w:tc>
          <w:tcPr>
            <w:tcW w:type="dxa" w:w="4896"/>
            <w:shd w:val="clear" w:color="auto" w:fill="1A2E4A"/>
          </w:tcPr>
          <w:p>
            <w:pPr>
              <w:spacing w:before="40" w:after="40"/>
            </w:pPr>
            <w:r>
              <w:rPr>
                <w:rFonts w:ascii="Calibri" w:hAnsi="Calibri"/>
                <w:b/>
                <w:i w:val="0"/>
                <w:color w:val="FFFFFF"/>
                <w:sz w:val="20"/>
              </w:rPr>
              <w:t>Custer County Data</w:t>
            </w:r>
          </w:p>
        </w:tc>
      </w:tr>
      <w:tr>
        <w:tc>
          <w:tcPr>
            <w:tcW w:type="dxa" w:w="4896"/>
            <w:shd w:val="clear" w:color="auto" w:fill="F4F5F7"/>
          </w:tcPr>
          <w:p>
            <w:pPr>
              <w:spacing w:before="40" w:after="40"/>
            </w:pPr>
            <w:r>
              <w:rPr>
                <w:rFonts w:ascii="Calibri" w:hAnsi="Calibri"/>
                <w:b/>
                <w:i w:val="0"/>
                <w:color w:val="1A2E4A"/>
                <w:sz w:val="20"/>
              </w:rPr>
              <w:t>District Name</w:t>
            </w:r>
          </w:p>
        </w:tc>
        <w:tc>
          <w:tcPr>
            <w:tcW w:type="dxa" w:w="4896"/>
            <w:shd w:val="clear" w:color="auto" w:fill="F4F5F7"/>
          </w:tcPr>
          <w:p>
            <w:pPr>
              <w:spacing w:before="40" w:after="40"/>
            </w:pPr>
            <w:r>
              <w:rPr>
                <w:rFonts w:ascii="Calibri" w:hAnsi="Calibri"/>
                <w:b w:val="0"/>
                <w:i w:val="0"/>
                <w:color w:val="1A1A1A"/>
                <w:sz w:val="20"/>
              </w:rPr>
              <w:t>Custer School District 16-1</w:t>
            </w:r>
          </w:p>
        </w:tc>
      </w:tr>
      <w:tr>
        <w:tc>
          <w:tcPr>
            <w:tcW w:type="dxa" w:w="4896"/>
            <w:shd w:val="clear" w:color="auto" w:fill="FFFFFF"/>
          </w:tcPr>
          <w:p>
            <w:pPr>
              <w:spacing w:before="40" w:after="40"/>
            </w:pPr>
            <w:r>
              <w:rPr>
                <w:rFonts w:ascii="Calibri" w:hAnsi="Calibri"/>
                <w:b/>
                <w:i w:val="0"/>
                <w:color w:val="1A2E4A"/>
                <w:sz w:val="20"/>
              </w:rPr>
              <w:t>Location</w:t>
            </w:r>
          </w:p>
        </w:tc>
        <w:tc>
          <w:tcPr>
            <w:tcW w:type="dxa" w:w="4896"/>
            <w:shd w:val="clear" w:color="auto" w:fill="FFFFFF"/>
          </w:tcPr>
          <w:p>
            <w:pPr>
              <w:spacing w:before="40" w:after="40"/>
            </w:pPr>
            <w:r>
              <w:rPr>
                <w:rFonts w:ascii="Calibri" w:hAnsi="Calibri"/>
                <w:b w:val="0"/>
                <w:i w:val="0"/>
                <w:color w:val="1A1A1A"/>
                <w:sz w:val="20"/>
              </w:rPr>
              <w:t>Custer, South Dakota (Custer County)</w:t>
            </w:r>
          </w:p>
        </w:tc>
      </w:tr>
      <w:tr>
        <w:tc>
          <w:tcPr>
            <w:tcW w:type="dxa" w:w="4896"/>
            <w:shd w:val="clear" w:color="auto" w:fill="F4F5F7"/>
          </w:tcPr>
          <w:p>
            <w:pPr>
              <w:spacing w:before="40" w:after="40"/>
            </w:pPr>
            <w:r>
              <w:rPr>
                <w:rFonts w:ascii="Calibri" w:hAnsi="Calibri"/>
                <w:b/>
                <w:i w:val="0"/>
                <w:color w:val="1A2E4A"/>
                <w:sz w:val="20"/>
              </w:rPr>
              <w:t>Total Student Enrollment</w:t>
            </w:r>
          </w:p>
        </w:tc>
        <w:tc>
          <w:tcPr>
            <w:tcW w:type="dxa" w:w="4896"/>
            <w:shd w:val="clear" w:color="auto" w:fill="F4F5F7"/>
          </w:tcPr>
          <w:p>
            <w:pPr>
              <w:spacing w:before="40" w:after="40"/>
            </w:pPr>
            <w:r>
              <w:rPr>
                <w:rFonts w:ascii="Calibri" w:hAnsi="Calibri"/>
                <w:b w:val="0"/>
                <w:i w:val="0"/>
                <w:color w:val="1A1A1A"/>
                <w:sz w:val="20"/>
              </w:rPr>
              <w:t>Approximately 906 students (2024 school year)</w:t>
            </w:r>
          </w:p>
        </w:tc>
      </w:tr>
      <w:tr>
        <w:tc>
          <w:tcPr>
            <w:tcW w:type="dxa" w:w="4896"/>
            <w:shd w:val="clear" w:color="auto" w:fill="FFFFFF"/>
          </w:tcPr>
          <w:p>
            <w:pPr>
              <w:spacing w:before="40" w:after="40"/>
            </w:pPr>
            <w:r>
              <w:rPr>
                <w:rFonts w:ascii="Calibri" w:hAnsi="Calibri"/>
                <w:b/>
                <w:i w:val="0"/>
                <w:color w:val="1A2E4A"/>
                <w:sz w:val="20"/>
              </w:rPr>
              <w:t>Number of Schools</w:t>
            </w:r>
          </w:p>
        </w:tc>
        <w:tc>
          <w:tcPr>
            <w:tcW w:type="dxa" w:w="4896"/>
            <w:shd w:val="clear" w:color="auto" w:fill="FFFFFF"/>
          </w:tcPr>
          <w:p>
            <w:pPr>
              <w:spacing w:before="40" w:after="40"/>
            </w:pPr>
            <w:r>
              <w:rPr>
                <w:rFonts w:ascii="Calibri" w:hAnsi="Calibri"/>
                <w:b w:val="0"/>
                <w:i w:val="0"/>
                <w:color w:val="1A1A1A"/>
                <w:sz w:val="20"/>
              </w:rPr>
              <w:t>Six schools</w:t>
            </w:r>
          </w:p>
        </w:tc>
      </w:tr>
      <w:tr>
        <w:tc>
          <w:tcPr>
            <w:tcW w:type="dxa" w:w="4896"/>
            <w:shd w:val="clear" w:color="auto" w:fill="F4F5F7"/>
          </w:tcPr>
          <w:p>
            <w:pPr>
              <w:spacing w:before="40" w:after="40"/>
            </w:pPr>
            <w:r>
              <w:rPr>
                <w:rFonts w:ascii="Calibri" w:hAnsi="Calibri"/>
                <w:b/>
                <w:i w:val="0"/>
                <w:color w:val="1A2E4A"/>
                <w:sz w:val="20"/>
              </w:rPr>
              <w:t>Per-Pupil Spending</w:t>
            </w:r>
          </w:p>
        </w:tc>
        <w:tc>
          <w:tcPr>
            <w:tcW w:type="dxa" w:w="4896"/>
            <w:shd w:val="clear" w:color="auto" w:fill="F4F5F7"/>
          </w:tcPr>
          <w:p>
            <w:pPr>
              <w:spacing w:before="40" w:after="40"/>
            </w:pPr>
            <w:r>
              <w:rPr>
                <w:rFonts w:ascii="Calibri" w:hAnsi="Calibri"/>
                <w:b w:val="0"/>
                <w:i w:val="0"/>
                <w:color w:val="1A1A1A"/>
                <w:sz w:val="20"/>
              </w:rPr>
              <w:t>$14,157 per student per year</w:t>
            </w:r>
          </w:p>
        </w:tc>
      </w:tr>
      <w:tr>
        <w:tc>
          <w:tcPr>
            <w:tcW w:type="dxa" w:w="4896"/>
            <w:shd w:val="clear" w:color="auto" w:fill="FFFFFF"/>
          </w:tcPr>
          <w:p>
            <w:pPr>
              <w:spacing w:before="40" w:after="40"/>
            </w:pPr>
            <w:r>
              <w:rPr>
                <w:rFonts w:ascii="Calibri" w:hAnsi="Calibri"/>
                <w:b/>
                <w:i w:val="0"/>
                <w:color w:val="1A2E4A"/>
                <w:sz w:val="20"/>
              </w:rPr>
              <w:t>State Aid Received</w:t>
            </w:r>
          </w:p>
        </w:tc>
        <w:tc>
          <w:tcPr>
            <w:tcW w:type="dxa" w:w="4896"/>
            <w:shd w:val="clear" w:color="auto" w:fill="FFFFFF"/>
          </w:tcPr>
          <w:p>
            <w:pPr>
              <w:spacing w:before="40" w:after="40"/>
            </w:pPr>
            <w:r>
              <w:rPr>
                <w:rFonts w:ascii="Calibri" w:hAnsi="Calibri"/>
                <w:b w:val="0"/>
                <w:i w:val="0"/>
                <w:color w:val="1A1A1A"/>
                <w:sz w:val="20"/>
              </w:rPr>
              <w:t>$0 — district is self-funded through local property taxes</w:t>
            </w:r>
          </w:p>
        </w:tc>
      </w:tr>
      <w:tr>
        <w:tc>
          <w:tcPr>
            <w:tcW w:type="dxa" w:w="4896"/>
            <w:shd w:val="clear" w:color="auto" w:fill="F4F5F7"/>
          </w:tcPr>
          <w:p>
            <w:pPr>
              <w:spacing w:before="40" w:after="40"/>
            </w:pPr>
            <w:r>
              <w:rPr>
                <w:rFonts w:ascii="Calibri" w:hAnsi="Calibri"/>
                <w:b/>
                <w:i w:val="0"/>
                <w:color w:val="1A2E4A"/>
                <w:sz w:val="20"/>
              </w:rPr>
              <w:t>State Need Formula (FY2026)</w:t>
            </w:r>
          </w:p>
        </w:tc>
        <w:tc>
          <w:tcPr>
            <w:tcW w:type="dxa" w:w="4896"/>
            <w:shd w:val="clear" w:color="auto" w:fill="F4F5F7"/>
          </w:tcPr>
          <w:p>
            <w:pPr>
              <w:spacing w:before="40" w:after="40"/>
            </w:pPr>
            <w:r>
              <w:rPr>
                <w:rFonts w:ascii="Calibri" w:hAnsi="Calibri"/>
                <w:b w:val="0"/>
                <w:i w:val="0"/>
                <w:color w:val="1A1A1A"/>
                <w:sz w:val="20"/>
              </w:rPr>
              <w:t>$62,821.19 per pupil (statewide formula basis)</w:t>
            </w:r>
          </w:p>
        </w:tc>
      </w:tr>
      <w:tr>
        <w:tc>
          <w:tcPr>
            <w:tcW w:type="dxa" w:w="4896"/>
            <w:shd w:val="clear" w:color="auto" w:fill="FFFFFF"/>
          </w:tcPr>
          <w:p>
            <w:pPr>
              <w:spacing w:before="40" w:after="40"/>
            </w:pPr>
            <w:r>
              <w:rPr>
                <w:rFonts w:ascii="Calibri" w:hAnsi="Calibri"/>
                <w:b/>
                <w:i w:val="0"/>
                <w:color w:val="1A2E4A"/>
                <w:sz w:val="20"/>
              </w:rPr>
              <w:t>District Math Proficiency</w:t>
            </w:r>
          </w:p>
        </w:tc>
        <w:tc>
          <w:tcPr>
            <w:tcW w:type="dxa" w:w="4896"/>
            <w:shd w:val="clear" w:color="auto" w:fill="FFFFFF"/>
          </w:tcPr>
          <w:p>
            <w:pPr>
              <w:spacing w:before="40" w:after="40"/>
            </w:pPr>
            <w:r>
              <w:rPr>
                <w:rFonts w:ascii="Calibri" w:hAnsi="Calibri"/>
                <w:b w:val="0"/>
                <w:i w:val="0"/>
                <w:color w:val="1A1A1A"/>
                <w:sz w:val="20"/>
              </w:rPr>
              <w:t>42% of students at or above proficient</w:t>
            </w:r>
          </w:p>
        </w:tc>
      </w:tr>
      <w:tr>
        <w:tc>
          <w:tcPr>
            <w:tcW w:type="dxa" w:w="4896"/>
            <w:shd w:val="clear" w:color="auto" w:fill="F4F5F7"/>
          </w:tcPr>
          <w:p>
            <w:pPr>
              <w:spacing w:before="40" w:after="40"/>
            </w:pPr>
            <w:r>
              <w:rPr>
                <w:rFonts w:ascii="Calibri" w:hAnsi="Calibri"/>
                <w:b/>
                <w:i w:val="0"/>
                <w:color w:val="1A2E4A"/>
                <w:sz w:val="20"/>
              </w:rPr>
              <w:t>District Reading Proficiency</w:t>
            </w:r>
          </w:p>
        </w:tc>
        <w:tc>
          <w:tcPr>
            <w:tcW w:type="dxa" w:w="4896"/>
            <w:shd w:val="clear" w:color="auto" w:fill="F4F5F7"/>
          </w:tcPr>
          <w:p>
            <w:pPr>
              <w:spacing w:before="40" w:after="40"/>
            </w:pPr>
            <w:r>
              <w:rPr>
                <w:rFonts w:ascii="Calibri" w:hAnsi="Calibri"/>
                <w:b w:val="0"/>
                <w:i w:val="0"/>
                <w:color w:val="1A1A1A"/>
                <w:sz w:val="20"/>
              </w:rPr>
              <w:t>49% of students at or above proficient</w:t>
            </w:r>
          </w:p>
        </w:tc>
      </w:tr>
      <w:tr>
        <w:tc>
          <w:tcPr>
            <w:tcW w:type="dxa" w:w="4896"/>
            <w:shd w:val="clear" w:color="auto" w:fill="FFFFFF"/>
          </w:tcPr>
          <w:p>
            <w:pPr>
              <w:spacing w:before="40" w:after="40"/>
            </w:pPr>
            <w:r>
              <w:rPr>
                <w:rFonts w:ascii="Calibri" w:hAnsi="Calibri"/>
                <w:b/>
                <w:i w:val="0"/>
                <w:color w:val="1A2E4A"/>
                <w:sz w:val="20"/>
              </w:rPr>
              <w:t>Statewide Math Average</w:t>
            </w:r>
          </w:p>
        </w:tc>
        <w:tc>
          <w:tcPr>
            <w:tcW w:type="dxa" w:w="4896"/>
            <w:shd w:val="clear" w:color="auto" w:fill="FFFFFF"/>
          </w:tcPr>
          <w:p>
            <w:pPr>
              <w:spacing w:before="40" w:after="40"/>
            </w:pPr>
            <w:r>
              <w:rPr>
                <w:rFonts w:ascii="Calibri" w:hAnsi="Calibri"/>
                <w:b w:val="0"/>
                <w:i w:val="0"/>
                <w:color w:val="1A1A1A"/>
                <w:sz w:val="20"/>
              </w:rPr>
              <w:t>43%</w:t>
            </w:r>
          </w:p>
        </w:tc>
      </w:tr>
      <w:tr>
        <w:tc>
          <w:tcPr>
            <w:tcW w:type="dxa" w:w="4896"/>
            <w:shd w:val="clear" w:color="auto" w:fill="F4F5F7"/>
          </w:tcPr>
          <w:p>
            <w:pPr>
              <w:spacing w:before="40" w:after="40"/>
            </w:pPr>
            <w:r>
              <w:rPr>
                <w:rFonts w:ascii="Calibri" w:hAnsi="Calibri"/>
                <w:b/>
                <w:i w:val="0"/>
                <w:color w:val="1A2E4A"/>
                <w:sz w:val="20"/>
              </w:rPr>
              <w:t>Statewide Reading Average</w:t>
            </w:r>
          </w:p>
        </w:tc>
        <w:tc>
          <w:tcPr>
            <w:tcW w:type="dxa" w:w="4896"/>
            <w:shd w:val="clear" w:color="auto" w:fill="F4F5F7"/>
          </w:tcPr>
          <w:p>
            <w:pPr>
              <w:spacing w:before="40" w:after="40"/>
            </w:pPr>
            <w:r>
              <w:rPr>
                <w:rFonts w:ascii="Calibri" w:hAnsi="Calibri"/>
                <w:b w:val="0"/>
                <w:i w:val="0"/>
                <w:color w:val="1A1A1A"/>
                <w:sz w:val="20"/>
              </w:rPr>
              <w:t>51%</w:t>
            </w:r>
          </w:p>
        </w:tc>
      </w:tr>
      <w:tr>
        <w:tc>
          <w:tcPr>
            <w:tcW w:type="dxa" w:w="4896"/>
            <w:shd w:val="clear" w:color="auto" w:fill="FFFFFF"/>
          </w:tcPr>
          <w:p>
            <w:pPr>
              <w:spacing w:before="40" w:after="40"/>
            </w:pPr>
            <w:r>
              <w:rPr>
                <w:rFonts w:ascii="Calibri" w:hAnsi="Calibri"/>
                <w:b/>
                <w:i w:val="0"/>
                <w:color w:val="1A2E4A"/>
                <w:sz w:val="20"/>
              </w:rPr>
              <w:t>Custer High School State Rank</w:t>
            </w:r>
          </w:p>
        </w:tc>
        <w:tc>
          <w:tcPr>
            <w:tcW w:type="dxa" w:w="4896"/>
            <w:shd w:val="clear" w:color="auto" w:fill="FFFFFF"/>
          </w:tcPr>
          <w:p>
            <w:pPr>
              <w:spacing w:before="40" w:after="40"/>
            </w:pPr>
            <w:r>
              <w:rPr>
                <w:rFonts w:ascii="Calibri" w:hAnsi="Calibri"/>
                <w:b w:val="0"/>
                <w:i w:val="0"/>
                <w:color w:val="1A1A1A"/>
                <w:sz w:val="20"/>
              </w:rPr>
              <w:t>24th out of 166 high schools in South Dakota (2024-2025)</w:t>
            </w:r>
          </w:p>
        </w:tc>
      </w:tr>
      <w:tr>
        <w:tc>
          <w:tcPr>
            <w:tcW w:type="dxa" w:w="4896"/>
            <w:shd w:val="clear" w:color="auto" w:fill="F4F5F7"/>
          </w:tcPr>
          <w:p>
            <w:pPr>
              <w:spacing w:before="40" w:after="40"/>
            </w:pPr>
            <w:r>
              <w:rPr>
                <w:rFonts w:ascii="Calibri" w:hAnsi="Calibri"/>
                <w:b/>
                <w:i w:val="0"/>
                <w:color w:val="1A2E4A"/>
                <w:sz w:val="20"/>
              </w:rPr>
              <w:t>4-Year Graduation Rate</w:t>
            </w:r>
          </w:p>
        </w:tc>
        <w:tc>
          <w:tcPr>
            <w:tcW w:type="dxa" w:w="4896"/>
            <w:shd w:val="clear" w:color="auto" w:fill="F4F5F7"/>
          </w:tcPr>
          <w:p>
            <w:pPr>
              <w:spacing w:before="40" w:after="40"/>
            </w:pPr>
            <w:r>
              <w:rPr>
                <w:rFonts w:ascii="Calibri" w:hAnsi="Calibri"/>
                <w:b w:val="0"/>
                <w:i w:val="0"/>
                <w:color w:val="1A1A1A"/>
                <w:sz w:val="20"/>
              </w:rPr>
              <w:t>93.5% (2024-2025)</w:t>
            </w:r>
          </w:p>
        </w:tc>
      </w:tr>
      <w:tr>
        <w:tc>
          <w:tcPr>
            <w:tcW w:type="dxa" w:w="4896"/>
            <w:shd w:val="clear" w:color="auto" w:fill="FFFFFF"/>
          </w:tcPr>
          <w:p>
            <w:pPr>
              <w:spacing w:before="40" w:after="40"/>
            </w:pPr>
            <w:r>
              <w:rPr>
                <w:rFonts w:ascii="Calibri" w:hAnsi="Calibri"/>
                <w:b/>
                <w:i w:val="0"/>
                <w:color w:val="1A2E4A"/>
                <w:sz w:val="20"/>
              </w:rPr>
              <w:t>High School ELA Proficiency</w:t>
            </w:r>
          </w:p>
        </w:tc>
        <w:tc>
          <w:tcPr>
            <w:tcW w:type="dxa" w:w="4896"/>
            <w:shd w:val="clear" w:color="auto" w:fill="FFFFFF"/>
          </w:tcPr>
          <w:p>
            <w:pPr>
              <w:spacing w:before="40" w:after="40"/>
            </w:pPr>
            <w:r>
              <w:rPr>
                <w:rFonts w:ascii="Calibri" w:hAnsi="Calibri"/>
                <w:b w:val="0"/>
                <w:i w:val="0"/>
                <w:color w:val="1A1A1A"/>
                <w:sz w:val="20"/>
              </w:rPr>
              <w:t>78.72% of 11th graders proficient or above</w:t>
            </w:r>
          </w:p>
        </w:tc>
      </w:tr>
      <w:tr>
        <w:tc>
          <w:tcPr>
            <w:tcW w:type="dxa" w:w="4896"/>
            <w:shd w:val="clear" w:color="auto" w:fill="F4F5F7"/>
          </w:tcPr>
          <w:p>
            <w:pPr>
              <w:spacing w:before="40" w:after="40"/>
            </w:pPr>
            <w:r>
              <w:rPr>
                <w:rFonts w:ascii="Calibri" w:hAnsi="Calibri"/>
                <w:b/>
                <w:i w:val="0"/>
                <w:color w:val="1A2E4A"/>
                <w:sz w:val="20"/>
              </w:rPr>
              <w:t>High School Math Proficiency</w:t>
            </w:r>
          </w:p>
        </w:tc>
        <w:tc>
          <w:tcPr>
            <w:tcW w:type="dxa" w:w="4896"/>
            <w:shd w:val="clear" w:color="auto" w:fill="F4F5F7"/>
          </w:tcPr>
          <w:p>
            <w:pPr>
              <w:spacing w:before="40" w:after="40"/>
            </w:pPr>
            <w:r>
              <w:rPr>
                <w:rFonts w:ascii="Calibri" w:hAnsi="Calibri"/>
                <w:b w:val="0"/>
                <w:i w:val="0"/>
                <w:color w:val="1A1A1A"/>
                <w:sz w:val="20"/>
              </w:rPr>
              <w:t>46.8% of 11th graders proficient or above</w:t>
            </w:r>
          </w:p>
        </w:tc>
      </w:tr>
      <w:tr>
        <w:tc>
          <w:tcPr>
            <w:tcW w:type="dxa" w:w="4896"/>
            <w:shd w:val="clear" w:color="auto" w:fill="FFFFFF"/>
          </w:tcPr>
          <w:p>
            <w:pPr>
              <w:spacing w:before="40" w:after="40"/>
            </w:pPr>
            <w:r>
              <w:rPr>
                <w:rFonts w:ascii="Calibri" w:hAnsi="Calibri"/>
                <w:b/>
                <w:i w:val="0"/>
                <w:color w:val="1A2E4A"/>
                <w:sz w:val="20"/>
              </w:rPr>
              <w:t>High School Science Proficiency</w:t>
            </w:r>
          </w:p>
        </w:tc>
        <w:tc>
          <w:tcPr>
            <w:tcW w:type="dxa" w:w="4896"/>
            <w:shd w:val="clear" w:color="auto" w:fill="FFFFFF"/>
          </w:tcPr>
          <w:p>
            <w:pPr>
              <w:spacing w:before="40" w:after="40"/>
            </w:pPr>
            <w:r>
              <w:rPr>
                <w:rFonts w:ascii="Calibri" w:hAnsi="Calibri"/>
                <w:b w:val="0"/>
                <w:i w:val="0"/>
                <w:color w:val="1A1A1A"/>
                <w:sz w:val="20"/>
              </w:rPr>
              <w:t>57.45% of 11th graders proficient or above</w:t>
            </w:r>
          </w:p>
        </w:tc>
      </w:tr>
    </w:tbl>
    <w:p/>
    <w:tbl>
      <w:tblPr>
        <w:tblW w:type="auto" w:w="0"/>
        <w:jc w:val="left"/>
        <w:tblLook w:firstColumn="1" w:firstRow="1" w:lastColumn="0" w:lastRow="0" w:noHBand="0" w:noVBand="1" w:val="04A0"/>
        <w:tblW w:w="0" w:type="auto"/>
      </w:tblPr>
      <w:tblGrid>
        <w:gridCol w:w="9792"/>
      </w:tblGrid>
      <w:tr>
        <w:tc>
          <w:tcPr>
            <w:tcW w:type="dxa" w:w="9792"/>
            <w:shd w:val="clear" w:color="auto" w:fill="1A2E4A"/>
          </w:tcPr>
          <w:p>
            <w:pPr>
              <w:spacing w:before="80" w:after="80"/>
              <w:ind w:left="144"/>
            </w:pPr>
            <w:r>
              <w:rPr>
                <w:rFonts w:ascii="Calibri" w:hAnsi="Calibri"/>
                <w:b/>
                <w:i w:val="0"/>
                <w:color w:val="FFFFFF"/>
                <w:sz w:val="24"/>
              </w:rPr>
              <w:t>SECTION 4  |  WHAT ARE WE GETTING? PUTTING THE NUMBERS IN CONTEXT</w:t>
            </w:r>
          </w:p>
        </w:tc>
      </w:tr>
    </w:tbl>
    <w:p/>
    <w:p>
      <w:pPr>
        <w:spacing w:before="40" w:after="80"/>
      </w:pPr>
      <w:r>
        <w:rPr>
          <w:rFonts w:ascii="Calibri" w:hAnsi="Calibri"/>
          <w:b w:val="0"/>
          <w:i w:val="0"/>
          <w:color w:val="1A1A1A"/>
          <w:sz w:val="21"/>
        </w:rPr>
        <w:t>Custer County schools are above the state average — but the state average is not a high bar. South Dakota as a whole ranks in the lower half of states for K-12 math and reading proficiency. Being slightly above average in a below-average state is not the same as delivering exceptional results for the property tax dollars being invested.</w:t>
      </w:r>
    </w:p>
    <w:p>
      <w:pPr>
        <w:spacing w:before="160" w:after="40"/>
      </w:pPr>
      <w:r>
        <w:rPr>
          <w:rFonts w:ascii="Calibri" w:hAnsi="Calibri"/>
          <w:b/>
          <w:i w:val="0"/>
          <w:color w:val="C86C00"/>
          <w:sz w:val="23"/>
        </w:rPr>
        <w:t>The Math Problem Is Real</w:t>
      </w:r>
    </w:p>
    <w:p>
      <w:pPr>
        <w:spacing w:before="40" w:after="80"/>
      </w:pPr>
      <w:r>
        <w:rPr>
          <w:rFonts w:ascii="Calibri" w:hAnsi="Calibri"/>
          <w:b w:val="0"/>
          <w:i w:val="0"/>
          <w:color w:val="1A1A1A"/>
          <w:sz w:val="21"/>
        </w:rPr>
        <w:t>Across the district, only 42% of students are proficient in math. That means more than half of Custer County students — 58 out of every 100 — are not meeting grade-level math standards. At the high school level, 46.8% of 11th graders are proficient in math. These numbers have remained flat for multiple years.</w:t>
      </w:r>
    </w:p>
    <w:p>
      <w:pPr>
        <w:spacing w:before="40" w:after="80"/>
      </w:pPr>
      <w:r>
        <w:rPr>
          <w:rFonts w:ascii="Calibri" w:hAnsi="Calibri"/>
          <w:b w:val="0"/>
          <w:i w:val="0"/>
          <w:color w:val="1A1A1A"/>
          <w:sz w:val="21"/>
        </w:rPr>
        <w:t>This is not a funding problem on its face — the district spends $14,157 per student, which is above the state formula figure. It is a management and accountability problem: money is being spent, but outcomes are not improving at a rate that justifies continued increases in the tax burden on property owners.</w:t>
      </w:r>
    </w:p>
    <w:p>
      <w:pPr>
        <w:spacing w:before="160" w:after="40"/>
      </w:pPr>
      <w:r>
        <w:rPr>
          <w:rFonts w:ascii="Calibri" w:hAnsi="Calibri"/>
          <w:b/>
          <w:i w:val="0"/>
          <w:color w:val="146B30"/>
          <w:sz w:val="23"/>
        </w:rPr>
        <w:t>What Is Working</w:t>
      </w:r>
    </w:p>
    <w:p>
      <w:pPr>
        <w:spacing w:before="40" w:after="80"/>
      </w:pPr>
      <w:r>
        <w:rPr>
          <w:rFonts w:ascii="Calibri" w:hAnsi="Calibri"/>
          <w:b w:val="0"/>
          <w:i w:val="0"/>
          <w:color w:val="1A1A1A"/>
          <w:sz w:val="21"/>
        </w:rPr>
        <w:t>Custer High School's graduation rate of 93.5% is a genuine strength. The school ranks 24th in the state — a solid performance for a small rural district competing against much larger schools with more resources. English Language Arts proficiency at 78.72% at the high school level is strong.</w:t>
      </w:r>
    </w:p>
    <w:p>
      <w:pPr>
        <w:spacing w:before="160" w:after="40"/>
      </w:pPr>
      <w:r>
        <w:rPr>
          <w:rFonts w:ascii="Calibri" w:hAnsi="Calibri"/>
          <w:b/>
          <w:i w:val="0"/>
          <w:color w:val="1A2E4A"/>
          <w:sz w:val="23"/>
        </w:rPr>
        <w:t>The Honest Question</w:t>
      </w:r>
    </w:p>
    <w:p>
      <w:pPr>
        <w:spacing w:before="40" w:after="80"/>
      </w:pPr>
      <w:r>
        <w:rPr>
          <w:rFonts w:ascii="Calibri" w:hAnsi="Calibri"/>
          <w:b w:val="0"/>
          <w:i w:val="0"/>
          <w:color w:val="1A1A1A"/>
          <w:sz w:val="21"/>
        </w:rPr>
        <w:t>A district that receives no state aid — funded entirely by local property taxpayers — owes those taxpayers complete transparency: Where exactly does the $14,157 per student go? How much is administrative overhead versus direct instruction? What is the trend in math proficiency over the past five years, and what is the plan to improve it? These are not hostile questions. They are what accountability looks like.</w:t>
      </w:r>
    </w:p>
    <w:tbl>
      <w:tblPr>
        <w:tblW w:type="auto" w:w="0"/>
        <w:jc w:val="left"/>
        <w:tblLook w:firstColumn="1" w:firstRow="1" w:lastColumn="0" w:lastRow="0" w:noHBand="0" w:noVBand="1" w:val="04A0"/>
        <w:tblW w:w="0" w:type="auto"/>
      </w:tblPr>
      <w:tblGrid>
        <w:gridCol w:w="9792"/>
      </w:tblGrid>
      <w:tr>
        <w:tc>
          <w:tcPr>
            <w:tcW w:type="dxa" w:w="9792"/>
            <w:shd w:val="clear" w:color="auto" w:fill="1A2E4A"/>
          </w:tcPr>
          <w:p>
            <w:pPr>
              <w:spacing w:before="80" w:after="80"/>
              <w:ind w:left="144"/>
            </w:pPr>
            <w:r>
              <w:rPr>
                <w:rFonts w:ascii="Calibri" w:hAnsi="Calibri"/>
                <w:b/>
                <w:i w:val="0"/>
                <w:color w:val="FFFFFF"/>
                <w:sz w:val="24"/>
              </w:rPr>
              <w:t>SECTION 5  |  THE SCHOOL RESOURCE OFFICER: A SAFETY DECISION MADE WITHOUT A VOTE</w:t>
            </w:r>
          </w:p>
        </w:tc>
      </w:tr>
    </w:tbl>
    <w:p/>
    <w:p>
      <w:pPr>
        <w:spacing w:before="40" w:after="80"/>
      </w:pPr>
      <w:r>
        <w:rPr>
          <w:rFonts w:ascii="Calibri" w:hAnsi="Calibri"/>
          <w:b w:val="0"/>
          <w:i w:val="0"/>
          <w:color w:val="1A1A1A"/>
          <w:sz w:val="21"/>
        </w:rPr>
        <w:t>A School Resource Officer — or SRO — is a law enforcement officer assigned to a school building full-time. In a rural community like Custer, where the nearest backup law enforcement can be many minutes away, the SRO is not just a security presence. It is the primary law enforcement resource in that building during school hours.</w:t>
      </w:r>
    </w:p>
    <w:tbl>
      <w:tblPr>
        <w:tblW w:type="auto" w:w="0"/>
        <w:jc w:val="left"/>
        <w:tblLook w:firstColumn="1" w:firstRow="1" w:lastColumn="0" w:lastRow="0" w:noHBand="0" w:noVBand="1" w:val="04A0"/>
        <w:tblW w:w="0" w:type="auto"/>
      </w:tblPr>
      <w:tblGrid>
        <w:gridCol w:w="4896"/>
        <w:gridCol w:w="4896"/>
      </w:tblGrid>
      <w:tr>
        <w:trPr>
          <w:trHeight w:val="72" w:hRule="atLeast"/>
        </w:trPr>
        <w:tc>
          <w:tcPr>
            <w:tcW w:type="dxa" w:w="4896"/>
            <w:shd w:val="clear" w:color="auto" w:fill="1A2E4A"/>
            <w:tcW w:w="180" w:type="dxa"/>
          </w:tcPr>
          <w:p/>
        </w:tc>
        <w:tc>
          <w:tcPr>
            <w:tcW w:type="dxa" w:w="4896"/>
            <w:shd w:val="clear" w:color="auto" w:fill="E8EDF5"/>
          </w:tcPr>
          <w:p>
            <w:pPr>
              <w:spacing w:before="120" w:after="80"/>
              <w:ind w:left="144"/>
            </w:pPr>
            <w:r>
              <w:rPr>
                <w:rFonts w:ascii="Calibri" w:hAnsi="Calibri"/>
                <w:b w:val="0"/>
                <w:i/>
                <w:color w:val="1A2E4A"/>
                <w:sz w:val="21"/>
              </w:rPr>
              <w:t>"Lintz met with Travis Hartshorn re: loss of law enforcement presence in the Custer school. Commissioner Hartman noted a meeting taking place today to discuss adding the law enforcement officer back into the school."</w:t>
            </w:r>
          </w:p>
          <w:p>
            <w:pPr>
              <w:spacing w:after="80"/>
              <w:ind w:left="144"/>
            </w:pPr>
            <w:r>
              <w:rPr>
                <w:rFonts w:ascii="Calibri" w:hAnsi="Calibri"/>
                <w:b w:val="0"/>
                <w:i/>
                <w:color w:val="505A68"/>
                <w:sz w:val="18"/>
              </w:rPr>
              <w:t>— Custer County Commission Minutes, January 20, 2026</w:t>
            </w:r>
          </w:p>
        </w:tc>
      </w:tr>
    </w:tbl>
    <w:p/>
    <w:p>
      <w:pPr>
        <w:spacing w:before="40" w:after="80"/>
      </w:pPr>
      <w:r>
        <w:rPr>
          <w:rFonts w:ascii="Calibri" w:hAnsi="Calibri"/>
          <w:b w:val="0"/>
          <w:i w:val="0"/>
          <w:color w:val="1A1A1A"/>
          <w:sz w:val="21"/>
        </w:rPr>
        <w:t>Law enforcement was removed from Custer's school building in early 2026. The commission chair had to schedule an additional meeting to discuss how to get that officer back. This is what budget mismanagement looks like in practice: money runs short, and the first thing that gets cut is the deputy in the school hallway.</w:t>
      </w:r>
    </w:p>
    <w:p>
      <w:pPr>
        <w:spacing w:before="40" w:after="80"/>
      </w:pPr>
      <w:r>
        <w:rPr>
          <w:rFonts w:ascii="Calibri" w:hAnsi="Calibri"/>
          <w:b w:val="0"/>
          <w:i w:val="0"/>
          <w:color w:val="1A1A1A"/>
          <w:sz w:val="21"/>
        </w:rPr>
        <w:t>There was no public announcement. No vote on whether this was an acceptable trade-off. The removal happened, and the commission discussed what to do about it after the fact. If a parent had known this was being considered, they might have had something to say at a public meeting. Instead, it was done and then noted in the minutes.</w:t>
      </w:r>
    </w:p>
    <w:tbl>
      <w:tblPr>
        <w:tblW w:type="auto" w:w="0"/>
        <w:jc w:val="left"/>
        <w:tblLook w:firstColumn="1" w:firstRow="1" w:lastColumn="0" w:lastRow="0" w:noHBand="0" w:noVBand="1" w:val="04A0"/>
        <w:tblW w:w="0" w:type="auto"/>
      </w:tblPr>
      <w:tblGrid>
        <w:gridCol w:w="9792"/>
      </w:tblGrid>
      <w:tr>
        <w:tc>
          <w:tcPr>
            <w:tcW w:type="dxa" w:w="9792"/>
            <w:shd w:val="clear" w:color="auto" w:fill="FBE9E7"/>
            <w:tcBorders>
              <w:top w:val="single" w:sz="12" w:space="0" w:color="B31B1B"/>
              <w:left w:val="single" w:sz="12" w:space="0" w:color="B31B1B"/>
              <w:bottom w:val="single" w:sz="12" w:space="0" w:color="B31B1B"/>
              <w:right w:val="single" w:sz="12" w:space="0" w:color="B31B1B"/>
            </w:tcBorders>
          </w:tcPr>
          <w:p>
            <w:pPr>
              <w:spacing w:before="80"/>
              <w:ind w:left="144"/>
            </w:pPr>
            <w:r>
              <w:rPr>
                <w:rFonts w:ascii="Calibri" w:hAnsi="Calibri"/>
                <w:b/>
                <w:i w:val="0"/>
                <w:color w:val="B31B1B"/>
                <w:sz w:val="21"/>
              </w:rPr>
              <w:t>THE ACCOUNTABILITY QUESTION</w:t>
            </w:r>
          </w:p>
          <w:p>
            <w:pPr>
              <w:spacing w:before="20" w:after="20"/>
              <w:ind w:left="144"/>
            </w:pPr>
            <w:r>
              <w:rPr>
                <w:rFonts w:ascii="Calibri" w:hAnsi="Calibri"/>
                <w:b w:val="0"/>
                <w:i w:val="0"/>
                <w:color w:val="1A1A1A"/>
                <w:sz w:val="21"/>
              </w:rPr>
              <w:t>The county is asking residents to approve a new Fire Opt-Out property tax levy.</w:t>
            </w:r>
          </w:p>
          <w:p>
            <w:pPr>
              <w:spacing w:before="20" w:after="20"/>
              <w:ind w:left="144"/>
            </w:pPr>
            <w:r>
              <w:rPr>
                <w:rFonts w:ascii="Calibri" w:hAnsi="Calibri"/>
                <w:b w:val="0"/>
                <w:i w:val="0"/>
                <w:color w:val="1A1A1A"/>
                <w:sz w:val="21"/>
              </w:rPr>
            </w:r>
          </w:p>
          <w:p>
            <w:pPr>
              <w:spacing w:before="20" w:after="20"/>
              <w:ind w:left="144"/>
            </w:pPr>
            <w:r>
              <w:rPr>
                <w:rFonts w:ascii="Calibri" w:hAnsi="Calibri"/>
                <w:b w:val="0"/>
                <w:i w:val="0"/>
                <w:color w:val="1A1A1A"/>
                <w:sz w:val="21"/>
              </w:rPr>
              <w:t>At the same time, the county allowed law enforcement to be removed from the school building.</w:t>
            </w:r>
          </w:p>
          <w:p>
            <w:pPr>
              <w:spacing w:before="20" w:after="20"/>
              <w:ind w:left="144"/>
            </w:pPr>
            <w:r>
              <w:rPr>
                <w:rFonts w:ascii="Calibri" w:hAnsi="Calibri"/>
                <w:b w:val="0"/>
                <w:i w:val="0"/>
                <w:color w:val="1A1A1A"/>
                <w:sz w:val="21"/>
              </w:rPr>
            </w:r>
          </w:p>
          <w:p>
            <w:pPr>
              <w:spacing w:before="20" w:after="20"/>
              <w:ind w:left="144"/>
            </w:pPr>
            <w:r>
              <w:rPr>
                <w:rFonts w:ascii="Calibri" w:hAnsi="Calibri"/>
                <w:b w:val="0"/>
                <w:i w:val="0"/>
                <w:color w:val="1A1A1A"/>
                <w:sz w:val="21"/>
              </w:rPr>
              <w:t>Both fire protection and school safety are public safety functions. If the county cannot fund basic public safety at current revenue levels, the question is not 'how do we raise more' — it is 'what are we spending existing money on, and why are first-responder functions being cut?'</w:t>
            </w:r>
          </w:p>
          <w:p>
            <w:pPr>
              <w:spacing w:after="40"/>
            </w:pPr>
          </w:p>
        </w:tc>
      </w:tr>
    </w:tbl>
    <w:p/>
    <w:tbl>
      <w:tblPr>
        <w:tblW w:type="auto" w:w="0"/>
        <w:jc w:val="left"/>
        <w:tblLook w:firstColumn="1" w:firstRow="1" w:lastColumn="0" w:lastRow="0" w:noHBand="0" w:noVBand="1" w:val="04A0"/>
        <w:tblW w:w="0" w:type="auto"/>
      </w:tblPr>
      <w:tblGrid>
        <w:gridCol w:w="9792"/>
      </w:tblGrid>
      <w:tr>
        <w:tc>
          <w:tcPr>
            <w:tcW w:type="dxa" w:w="9792"/>
            <w:shd w:val="clear" w:color="auto" w:fill="1A2E4A"/>
          </w:tcPr>
          <w:p>
            <w:pPr>
              <w:spacing w:before="80" w:after="80"/>
              <w:ind w:left="144"/>
            </w:pPr>
            <w:r>
              <w:rPr>
                <w:rFonts w:ascii="Calibri" w:hAnsi="Calibri"/>
                <w:b/>
                <w:i w:val="0"/>
                <w:color w:val="FFFFFF"/>
                <w:sz w:val="24"/>
              </w:rPr>
              <w:t>SECTION 6  |  THE COMPOUND LEVY PROBLEM: MULTIPLE TAXING AUTHORITIES, ONE PROPERTY</w:t>
            </w:r>
          </w:p>
        </w:tc>
      </w:tr>
    </w:tbl>
    <w:p/>
    <w:p>
      <w:pPr>
        <w:spacing w:before="40" w:after="80"/>
      </w:pPr>
      <w:r>
        <w:rPr>
          <w:rFonts w:ascii="Calibri" w:hAnsi="Calibri"/>
          <w:b w:val="0"/>
          <w:i w:val="0"/>
          <w:color w:val="1A1A1A"/>
          <w:sz w:val="21"/>
        </w:rPr>
        <w:t>Here is the core financial reality for a Custer County homeowner:</w:t>
      </w:r>
    </w:p>
    <w:tbl>
      <w:tblPr>
        <w:tblStyle w:val="TableGrid"/>
        <w:tblW w:type="auto" w:w="0"/>
        <w:jc w:val="left"/>
        <w:tblLook w:firstColumn="1" w:firstRow="1" w:lastColumn="0" w:lastRow="0" w:noHBand="0" w:noVBand="1" w:val="04A0"/>
      </w:tblPr>
      <w:tblGrid>
        <w:gridCol w:w="4896"/>
        <w:gridCol w:w="4896"/>
      </w:tblGrid>
      <w:tr>
        <w:tc>
          <w:tcPr>
            <w:tcW w:type="dxa" w:w="4896"/>
            <w:shd w:val="clear" w:color="auto" w:fill="1A2E4A"/>
          </w:tcPr>
          <w:p>
            <w:pPr>
              <w:spacing w:before="40" w:after="40"/>
            </w:pPr>
            <w:r>
              <w:rPr>
                <w:rFonts w:ascii="Calibri" w:hAnsi="Calibri"/>
                <w:b/>
                <w:i w:val="0"/>
                <w:color w:val="FFFFFF"/>
                <w:sz w:val="20"/>
              </w:rPr>
              <w:t>Levy Source</w:t>
            </w:r>
          </w:p>
        </w:tc>
        <w:tc>
          <w:tcPr>
            <w:tcW w:type="dxa" w:w="4896"/>
            <w:shd w:val="clear" w:color="auto" w:fill="1A2E4A"/>
          </w:tcPr>
          <w:p>
            <w:pPr>
              <w:spacing w:before="40" w:after="40"/>
            </w:pPr>
            <w:r>
              <w:rPr>
                <w:rFonts w:ascii="Calibri" w:hAnsi="Calibri"/>
                <w:b/>
                <w:i w:val="0"/>
                <w:color w:val="FFFFFF"/>
                <w:sz w:val="20"/>
              </w:rPr>
              <w:t>What It Means for Your Bill</w:t>
            </w:r>
          </w:p>
        </w:tc>
      </w:tr>
      <w:tr>
        <w:tc>
          <w:tcPr>
            <w:tcW w:type="dxa" w:w="4896"/>
            <w:shd w:val="clear" w:color="auto" w:fill="F4F5F7"/>
          </w:tcPr>
          <w:p>
            <w:pPr>
              <w:spacing w:before="40" w:after="40"/>
            </w:pPr>
            <w:r>
              <w:rPr>
                <w:rFonts w:ascii="Calibri" w:hAnsi="Calibri"/>
                <w:b/>
                <w:i w:val="0"/>
                <w:color w:val="1A2E4A"/>
                <w:sz w:val="20"/>
              </w:rPr>
              <w:t>School District Levy</w:t>
            </w:r>
          </w:p>
        </w:tc>
        <w:tc>
          <w:tcPr>
            <w:tcW w:type="dxa" w:w="4896"/>
            <w:shd w:val="clear" w:color="auto" w:fill="F4F5F7"/>
          </w:tcPr>
          <w:p>
            <w:pPr>
              <w:spacing w:before="40" w:after="40"/>
            </w:pPr>
            <w:r>
              <w:rPr>
                <w:rFonts w:ascii="Calibri" w:hAnsi="Calibri"/>
                <w:b w:val="0"/>
                <w:i w:val="0"/>
                <w:color w:val="1A1A1A"/>
                <w:sz w:val="20"/>
              </w:rPr>
              <w:t>The largest single piece — funded entirely by local property taxes because Custer School District receives no state aid</w:t>
            </w:r>
          </w:p>
        </w:tc>
      </w:tr>
      <w:tr>
        <w:tc>
          <w:tcPr>
            <w:tcW w:type="dxa" w:w="4896"/>
            <w:shd w:val="clear" w:color="auto" w:fill="FFFFFF"/>
          </w:tcPr>
          <w:p>
            <w:pPr>
              <w:spacing w:before="40" w:after="40"/>
            </w:pPr>
            <w:r>
              <w:rPr>
                <w:rFonts w:ascii="Calibri" w:hAnsi="Calibri"/>
                <w:b/>
                <w:i w:val="0"/>
                <w:color w:val="1A2E4A"/>
                <w:sz w:val="20"/>
              </w:rPr>
              <w:t>County General Levy</w:t>
            </w:r>
          </w:p>
        </w:tc>
        <w:tc>
          <w:tcPr>
            <w:tcW w:type="dxa" w:w="4896"/>
            <w:shd w:val="clear" w:color="auto" w:fill="FFFFFF"/>
          </w:tcPr>
          <w:p>
            <w:pPr>
              <w:spacing w:before="40" w:after="40"/>
            </w:pPr>
            <w:r>
              <w:rPr>
                <w:rFonts w:ascii="Calibri" w:hAnsi="Calibri"/>
                <w:b w:val="0"/>
                <w:i w:val="0"/>
                <w:color w:val="1A1A1A"/>
                <w:sz w:val="20"/>
              </w:rPr>
              <w:t>Funds county operations: courthouse, roads, sheriff, administration — $13.2M general budget for 2026</w:t>
            </w:r>
          </w:p>
        </w:tc>
      </w:tr>
      <w:tr>
        <w:tc>
          <w:tcPr>
            <w:tcW w:type="dxa" w:w="4896"/>
            <w:shd w:val="clear" w:color="auto" w:fill="F4F5F7"/>
          </w:tcPr>
          <w:p>
            <w:pPr>
              <w:spacing w:before="40" w:after="40"/>
            </w:pPr>
            <w:r>
              <w:rPr>
                <w:rFonts w:ascii="Calibri" w:hAnsi="Calibri"/>
                <w:b/>
                <w:i w:val="0"/>
                <w:color w:val="1A2E4A"/>
                <w:sz w:val="20"/>
              </w:rPr>
              <w:t>City of Custer Levy</w:t>
            </w:r>
          </w:p>
        </w:tc>
        <w:tc>
          <w:tcPr>
            <w:tcW w:type="dxa" w:w="4896"/>
            <w:shd w:val="clear" w:color="auto" w:fill="F4F5F7"/>
          </w:tcPr>
          <w:p>
            <w:pPr>
              <w:spacing w:before="40" w:after="40"/>
            </w:pPr>
            <w:r>
              <w:rPr>
                <w:rFonts w:ascii="Calibri" w:hAnsi="Calibri"/>
                <w:b w:val="0"/>
                <w:i w:val="0"/>
                <w:color w:val="1A1A1A"/>
                <w:sz w:val="20"/>
              </w:rPr>
              <w:t>Applies to properties inside city limits — an additional layer on top of county and school levies</w:t>
            </w:r>
          </w:p>
        </w:tc>
      </w:tr>
      <w:tr>
        <w:tc>
          <w:tcPr>
            <w:tcW w:type="dxa" w:w="4896"/>
            <w:shd w:val="clear" w:color="auto" w:fill="FFFFFF"/>
          </w:tcPr>
          <w:p>
            <w:pPr>
              <w:spacing w:before="40" w:after="40"/>
            </w:pPr>
            <w:r>
              <w:rPr>
                <w:rFonts w:ascii="Calibri" w:hAnsi="Calibri"/>
                <w:b/>
                <w:i w:val="0"/>
                <w:color w:val="1A2E4A"/>
                <w:sz w:val="20"/>
              </w:rPr>
              <w:t>Rural Fire Levy (proposed)</w:t>
            </w:r>
          </w:p>
        </w:tc>
        <w:tc>
          <w:tcPr>
            <w:tcW w:type="dxa" w:w="4896"/>
            <w:shd w:val="clear" w:color="auto" w:fill="FFFFFF"/>
          </w:tcPr>
          <w:p>
            <w:pPr>
              <w:spacing w:before="40" w:after="40"/>
            </w:pPr>
            <w:r>
              <w:rPr>
                <w:rFonts w:ascii="Calibri" w:hAnsi="Calibri"/>
                <w:b w:val="0"/>
                <w:i w:val="0"/>
                <w:color w:val="1A1A1A"/>
                <w:sz w:val="20"/>
              </w:rPr>
              <w:t>The new Fire Opt-Out levy being discussed — another addition to an already-stacked bill</w:t>
            </w:r>
          </w:p>
        </w:tc>
      </w:tr>
      <w:tr>
        <w:tc>
          <w:tcPr>
            <w:tcW w:type="dxa" w:w="4896"/>
            <w:shd w:val="clear" w:color="auto" w:fill="F4F5F7"/>
          </w:tcPr>
          <w:p>
            <w:pPr>
              <w:spacing w:before="40" w:after="40"/>
            </w:pPr>
            <w:r>
              <w:rPr>
                <w:rFonts w:ascii="Calibri" w:hAnsi="Calibri"/>
                <w:b/>
                <w:i w:val="0"/>
                <w:color w:val="1A2E4A"/>
                <w:sz w:val="20"/>
              </w:rPr>
              <w:t>Rising Assessed Values</w:t>
            </w:r>
          </w:p>
        </w:tc>
        <w:tc>
          <w:tcPr>
            <w:tcW w:type="dxa" w:w="4896"/>
            <w:shd w:val="clear" w:color="auto" w:fill="F4F5F7"/>
          </w:tcPr>
          <w:p>
            <w:pPr>
              <w:spacing w:before="40" w:after="40"/>
            </w:pPr>
            <w:r>
              <w:rPr>
                <w:rFonts w:ascii="Calibri" w:hAnsi="Calibri"/>
                <w:b w:val="0"/>
                <w:i w:val="0"/>
                <w:color w:val="1A1A1A"/>
                <w:sz w:val="20"/>
              </w:rPr>
              <w:t>Even when rates stay the same, rising property values mean higher dollar amounts on every existing levy</w:t>
            </w:r>
          </w:p>
        </w:tc>
      </w:tr>
    </w:tbl>
    <w:p/>
    <w:p>
      <w:pPr>
        <w:spacing w:before="40" w:after="80"/>
      </w:pPr>
      <w:r>
        <w:rPr>
          <w:rFonts w:ascii="Calibri" w:hAnsi="Calibri"/>
          <w:b w:val="0"/>
          <w:i w:val="0"/>
          <w:color w:val="1A1A1A"/>
          <w:sz w:val="21"/>
        </w:rPr>
        <w:t>The assessed value of Black Hills real estate has risen sharply in recent years. When your home is reassessed at a higher value, every levy on your bill — school, county, city, fire — automatically collects more dollars from you, even if the mill rate never changed. This is called 'passive revenue growth.' It means taxing authorities are already collecting more from property owners every year without voting to raise rates.</w:t>
      </w:r>
    </w:p>
    <w:p>
      <w:pPr>
        <w:spacing w:before="40" w:after="80"/>
      </w:pPr>
      <w:r>
        <w:rPr>
          <w:rFonts w:ascii="Calibri" w:hAnsi="Calibri"/>
          <w:b w:val="0"/>
          <w:i w:val="0"/>
          <w:color w:val="1A1A1A"/>
          <w:sz w:val="21"/>
        </w:rPr>
        <w:t>State property tax relief under SB 245 (signed March 12, 2026) is specifically designed to offset this pressure. It creates a statewide credit on owner-occupied property tax bills — estimated at up to 15% relief on average, or approximately $547 per year on a $325,000 home. This relief arrives July 1, 2026.</w:t>
      </w:r>
    </w:p>
    <w:p>
      <w:pPr>
        <w:spacing w:before="40" w:after="80"/>
      </w:pPr>
      <w:r>
        <w:rPr>
          <w:rFonts w:ascii="Calibri" w:hAnsi="Calibri"/>
          <w:b w:val="0"/>
          <w:i w:val="0"/>
          <w:color w:val="1A1A1A"/>
          <w:sz w:val="21"/>
        </w:rPr>
        <w:t>A new Fire Opt-Out levy added on top of that relief would reduce or eliminate the net benefit that state legislators specifically designed for homeowners like you.</w:t>
      </w:r>
    </w:p>
    <w:tbl>
      <w:tblPr>
        <w:tblW w:type="auto" w:w="0"/>
        <w:jc w:val="left"/>
        <w:tblLook w:firstColumn="1" w:firstRow="1" w:lastColumn="0" w:lastRow="0" w:noHBand="0" w:noVBand="1" w:val="04A0"/>
        <w:tblW w:w="0" w:type="auto"/>
      </w:tblPr>
      <w:tblGrid>
        <w:gridCol w:w="9792"/>
      </w:tblGrid>
      <w:tr>
        <w:tc>
          <w:tcPr>
            <w:tcW w:type="dxa" w:w="9792"/>
            <w:shd w:val="clear" w:color="auto" w:fill="1A2E4A"/>
          </w:tcPr>
          <w:p>
            <w:pPr>
              <w:spacing w:before="80" w:after="80"/>
              <w:ind w:left="144"/>
            </w:pPr>
            <w:r>
              <w:rPr>
                <w:rFonts w:ascii="Calibri" w:hAnsi="Calibri"/>
                <w:b/>
                <w:i w:val="0"/>
                <w:color w:val="FFFFFF"/>
                <w:sz w:val="24"/>
              </w:rPr>
              <w:t>SECTION 7  |  WHAT ACCOUNTABILITY LOOKS LIKE</w:t>
            </w:r>
          </w:p>
        </w:tc>
      </w:tr>
    </w:tbl>
    <w:p/>
    <w:p>
      <w:pPr>
        <w:spacing w:before="40" w:after="80"/>
      </w:pPr>
      <w:r>
        <w:rPr>
          <w:rFonts w:ascii="Calibri" w:hAnsi="Calibri"/>
          <w:b w:val="0"/>
          <w:i w:val="0"/>
          <w:color w:val="1A1A1A"/>
          <w:sz w:val="21"/>
        </w:rPr>
        <w:t>Accountability is not about being hostile to schools or county government. It is about expecting that the people spending public money can answer basic questions about where it goes and what results it produces. Here are the questions Custer County taxpayers have every right to ask.</w:t>
      </w:r>
    </w:p>
    <w:p>
      <w:pPr>
        <w:spacing w:before="120" w:after="20"/>
      </w:pPr>
      <w:r>
        <w:rPr>
          <w:rFonts w:ascii="Calibri" w:hAnsi="Calibri"/>
          <w:b/>
          <w:i w:val="0"/>
          <w:color w:val="1A2E4A"/>
          <w:sz w:val="21"/>
        </w:rPr>
        <w:t>For the School District:</w:t>
      </w:r>
    </w:p>
    <w:p>
      <w:pPr>
        <w:spacing w:before="20" w:after="40"/>
        <w:ind w:left="216"/>
      </w:pPr>
      <w:r>
        <w:rPr>
          <w:rFonts w:ascii="Calibri" w:hAnsi="Calibri"/>
          <w:b/>
          <w:i w:val="0"/>
          <w:color w:val="B31B1B"/>
          <w:sz w:val="21"/>
        </w:rPr>
        <w:t xml:space="preserve">✗  </w:t>
      </w:r>
      <w:r>
        <w:rPr>
          <w:rFonts w:ascii="Calibri" w:hAnsi="Calibri"/>
          <w:b w:val="0"/>
          <w:i w:val="0"/>
          <w:color w:val="1A1A1A"/>
          <w:sz w:val="21"/>
        </w:rPr>
        <w:t>The district spends $14,157 per student. What percentage of that goes directly to classroom instruction vs. administration, facilities, and overhead?</w:t>
      </w:r>
    </w:p>
    <w:p>
      <w:pPr>
        <w:spacing w:before="20" w:after="40"/>
        <w:ind w:left="216"/>
      </w:pPr>
      <w:r>
        <w:rPr>
          <w:rFonts w:ascii="Calibri" w:hAnsi="Calibri"/>
          <w:b/>
          <w:i w:val="0"/>
          <w:color w:val="B31B1B"/>
          <w:sz w:val="21"/>
        </w:rPr>
        <w:t xml:space="preserve">✗  </w:t>
      </w:r>
      <w:r>
        <w:rPr>
          <w:rFonts w:ascii="Calibri" w:hAnsi="Calibri"/>
          <w:b w:val="0"/>
          <w:i w:val="0"/>
          <w:color w:val="1A1A1A"/>
          <w:sz w:val="21"/>
        </w:rPr>
        <w:t>Math proficiency has been below 50% for multiple years. What specific interventions are in place, and what is the measurable improvement timeline?</w:t>
      </w:r>
    </w:p>
    <w:p>
      <w:pPr>
        <w:spacing w:before="20" w:after="40"/>
        <w:ind w:left="216"/>
      </w:pPr>
      <w:r>
        <w:rPr>
          <w:rFonts w:ascii="Calibri" w:hAnsi="Calibri"/>
          <w:b/>
          <w:i w:val="0"/>
          <w:color w:val="B31B1B"/>
          <w:sz w:val="21"/>
        </w:rPr>
        <w:t xml:space="preserve">✗  </w:t>
      </w:r>
      <w:r>
        <w:rPr>
          <w:rFonts w:ascii="Calibri" w:hAnsi="Calibri"/>
          <w:b w:val="0"/>
          <w:i w:val="0"/>
          <w:color w:val="1A1A1A"/>
          <w:sz w:val="21"/>
        </w:rPr>
        <w:t>The district receives no state aid because it is considered 'property tax rich.' How does the school board communicate this to residents, and what is the district's plan if property values flatten and state aid still does not materialize?</w:t>
      </w:r>
    </w:p>
    <w:p>
      <w:pPr>
        <w:spacing w:before="20" w:after="40"/>
        <w:ind w:left="216"/>
      </w:pPr>
      <w:r>
        <w:rPr>
          <w:rFonts w:ascii="Calibri" w:hAnsi="Calibri"/>
          <w:b/>
          <w:i w:val="0"/>
          <w:color w:val="B31B1B"/>
          <w:sz w:val="21"/>
        </w:rPr>
        <w:t xml:space="preserve">✗  </w:t>
      </w:r>
      <w:r>
        <w:rPr>
          <w:rFonts w:ascii="Calibri" w:hAnsi="Calibri"/>
          <w:b w:val="0"/>
          <w:i w:val="0"/>
          <w:color w:val="1A1A1A"/>
          <w:sz w:val="21"/>
        </w:rPr>
        <w:t>What was the cost of the SRO program that was eliminated? What is the plan to restore it, and what timeline is the school board committed to?</w:t>
      </w:r>
    </w:p>
    <w:p>
      <w:pPr>
        <w:spacing w:before="120" w:after="20"/>
      </w:pPr>
      <w:r>
        <w:rPr>
          <w:rFonts w:ascii="Calibri" w:hAnsi="Calibri"/>
          <w:b/>
          <w:i w:val="0"/>
          <w:color w:val="1A2E4A"/>
          <w:sz w:val="21"/>
        </w:rPr>
        <w:t>For the County Commission:</w:t>
      </w:r>
    </w:p>
    <w:p>
      <w:pPr>
        <w:spacing w:before="20" w:after="40"/>
        <w:ind w:left="216"/>
      </w:pPr>
      <w:r>
        <w:rPr>
          <w:rFonts w:ascii="Calibri" w:hAnsi="Calibri"/>
          <w:b/>
          <w:i w:val="0"/>
          <w:color w:val="B31B1B"/>
          <w:sz w:val="21"/>
        </w:rPr>
        <w:t xml:space="preserve">✗  </w:t>
      </w:r>
      <w:r>
        <w:rPr>
          <w:rFonts w:ascii="Calibri" w:hAnsi="Calibri"/>
          <w:b w:val="0"/>
          <w:i w:val="0"/>
          <w:color w:val="1A1A1A"/>
          <w:sz w:val="21"/>
        </w:rPr>
        <w:t>Custer County's annual audit has documented budget overdrafts in violation of SDCL 7-21-25 and cash reconciliation failures. What corrective action has been taken, and has the state auditor's office been engaged?</w:t>
      </w:r>
    </w:p>
    <w:p>
      <w:pPr>
        <w:spacing w:before="20" w:after="40"/>
        <w:ind w:left="216"/>
      </w:pPr>
      <w:r>
        <w:rPr>
          <w:rFonts w:ascii="Calibri" w:hAnsi="Calibri"/>
          <w:b/>
          <w:i w:val="0"/>
          <w:color w:val="B31B1B"/>
          <w:sz w:val="21"/>
        </w:rPr>
        <w:t xml:space="preserve">✗  </w:t>
      </w:r>
      <w:r>
        <w:rPr>
          <w:rFonts w:ascii="Calibri" w:hAnsi="Calibri"/>
          <w:b w:val="0"/>
          <w:i w:val="0"/>
          <w:color w:val="1A1A1A"/>
          <w:sz w:val="21"/>
        </w:rPr>
        <w:t>Under SB 96 (now law), the county can implement up to a 0.5% sales tax with all revenue required to reduce property taxes. Has the commission evaluated this option for fire funding? What would it generate annually given Custer County tourism volume?</w:t>
      </w:r>
    </w:p>
    <w:p>
      <w:pPr>
        <w:spacing w:before="20" w:after="40"/>
        <w:ind w:left="216"/>
      </w:pPr>
      <w:r>
        <w:rPr>
          <w:rFonts w:ascii="Calibri" w:hAnsi="Calibri"/>
          <w:b/>
          <w:i w:val="0"/>
          <w:color w:val="B31B1B"/>
          <w:sz w:val="21"/>
        </w:rPr>
        <w:t xml:space="preserve">✗  </w:t>
      </w:r>
      <w:r>
        <w:rPr>
          <w:rFonts w:ascii="Calibri" w:hAnsi="Calibri"/>
          <w:b w:val="0"/>
          <w:i w:val="0"/>
          <w:color w:val="1A1A1A"/>
          <w:sz w:val="21"/>
        </w:rPr>
        <w:t>The county was notified in September 2024 about a 50% green energy grant for the Courthouse HVAC system. Why has no application been filed?</w:t>
      </w:r>
    </w:p>
    <w:p>
      <w:pPr>
        <w:spacing w:before="20" w:after="40"/>
        <w:ind w:left="216"/>
      </w:pPr>
      <w:r>
        <w:rPr>
          <w:rFonts w:ascii="Calibri" w:hAnsi="Calibri"/>
          <w:b/>
          <w:i w:val="0"/>
          <w:color w:val="B31B1B"/>
          <w:sz w:val="21"/>
        </w:rPr>
        <w:t xml:space="preserve">✗  </w:t>
      </w:r>
      <w:r>
        <w:rPr>
          <w:rFonts w:ascii="Calibri" w:hAnsi="Calibri"/>
          <w:b w:val="0"/>
          <w:i w:val="0"/>
          <w:color w:val="1A1A1A"/>
          <w:sz w:val="21"/>
        </w:rPr>
        <w:t>SB 245 will deliver property tax credits to Custer County homeowners starting July 1, 2026. What will the net effect on property owners be if a Fire Opt-Out is added on top of that credit?</w:t>
      </w:r>
    </w:p>
    <w:p>
      <w:pPr>
        <w:spacing w:before="120" w:after="20"/>
      </w:pPr>
      <w:r>
        <w:rPr>
          <w:rFonts w:ascii="Calibri" w:hAnsi="Calibri"/>
          <w:b/>
          <w:i w:val="0"/>
          <w:color w:val="146B30"/>
          <w:sz w:val="21"/>
        </w:rPr>
        <w:t>What Good Answers Look Like:</w:t>
      </w:r>
    </w:p>
    <w:p>
      <w:pPr>
        <w:spacing w:before="20" w:after="40"/>
        <w:ind w:left="216"/>
      </w:pPr>
      <w:r>
        <w:rPr>
          <w:rFonts w:ascii="Calibri" w:hAnsi="Calibri"/>
          <w:b/>
          <w:i w:val="0"/>
          <w:color w:val="146B30"/>
          <w:sz w:val="21"/>
        </w:rPr>
        <w:t xml:space="preserve">✓  </w:t>
      </w:r>
      <w:r>
        <w:rPr>
          <w:rFonts w:ascii="Calibri" w:hAnsi="Calibri"/>
          <w:b w:val="0"/>
          <w:i w:val="0"/>
          <w:color w:val="1A1A1A"/>
          <w:sz w:val="21"/>
        </w:rPr>
        <w:t>Specific numbers, not general statements about 'doing our best'</w:t>
      </w:r>
    </w:p>
    <w:p>
      <w:pPr>
        <w:spacing w:before="20" w:after="40"/>
        <w:ind w:left="216"/>
      </w:pPr>
      <w:r>
        <w:rPr>
          <w:rFonts w:ascii="Calibri" w:hAnsi="Calibri"/>
          <w:b/>
          <w:i w:val="0"/>
          <w:color w:val="146B30"/>
          <w:sz w:val="21"/>
        </w:rPr>
        <w:t xml:space="preserve">✓  </w:t>
      </w:r>
      <w:r>
        <w:rPr>
          <w:rFonts w:ascii="Calibri" w:hAnsi="Calibri"/>
          <w:b w:val="0"/>
          <w:i w:val="0"/>
          <w:color w:val="1A1A1A"/>
          <w:sz w:val="21"/>
        </w:rPr>
        <w:t>A comparison of SB 96 sales tax revenue vs. Fire Opt-Out property tax revenue</w:t>
      </w:r>
    </w:p>
    <w:p>
      <w:pPr>
        <w:spacing w:before="20" w:after="40"/>
        <w:ind w:left="216"/>
      </w:pPr>
      <w:r>
        <w:rPr>
          <w:rFonts w:ascii="Calibri" w:hAnsi="Calibri"/>
          <w:b/>
          <w:i w:val="0"/>
          <w:color w:val="146B30"/>
          <w:sz w:val="21"/>
        </w:rPr>
        <w:t xml:space="preserve">✓  </w:t>
      </w:r>
      <w:r>
        <w:rPr>
          <w:rFonts w:ascii="Calibri" w:hAnsi="Calibri"/>
          <w:b w:val="0"/>
          <w:i w:val="0"/>
          <w:color w:val="1A1A1A"/>
          <w:sz w:val="21"/>
        </w:rPr>
        <w:t>A timeline for restoring SRO presence in the school building</w:t>
      </w:r>
    </w:p>
    <w:p>
      <w:pPr>
        <w:spacing w:before="20" w:after="40"/>
        <w:ind w:left="216"/>
      </w:pPr>
      <w:r>
        <w:rPr>
          <w:rFonts w:ascii="Calibri" w:hAnsi="Calibri"/>
          <w:b/>
          <w:i w:val="0"/>
          <w:color w:val="146B30"/>
          <w:sz w:val="21"/>
        </w:rPr>
        <w:t xml:space="preserve">✓  </w:t>
      </w:r>
      <w:r>
        <w:rPr>
          <w:rFonts w:ascii="Calibri" w:hAnsi="Calibri"/>
          <w:b w:val="0"/>
          <w:i w:val="0"/>
          <w:color w:val="1A1A1A"/>
          <w:sz w:val="21"/>
        </w:rPr>
        <w:t>A corrective action plan on audit findings — not just acknowledgment that they exist</w:t>
      </w:r>
    </w:p>
    <w:p>
      <w:pPr>
        <w:spacing w:before="20" w:after="40"/>
        <w:ind w:left="216"/>
      </w:pPr>
      <w:r>
        <w:rPr>
          <w:rFonts w:ascii="Calibri" w:hAnsi="Calibri"/>
          <w:b/>
          <w:i w:val="0"/>
          <w:color w:val="146B30"/>
          <w:sz w:val="21"/>
        </w:rPr>
        <w:t xml:space="preserve">✓  </w:t>
      </w:r>
      <w:r>
        <w:rPr>
          <w:rFonts w:ascii="Calibri" w:hAnsi="Calibri"/>
          <w:b w:val="0"/>
          <w:i w:val="0"/>
          <w:color w:val="1A1A1A"/>
          <w:sz w:val="21"/>
        </w:rPr>
        <w:t>A breakdown of per-student spending by category (instruction, administration, facilities)</w:t>
      </w:r>
    </w:p>
    <w:tbl>
      <w:tblPr>
        <w:tblW w:type="auto" w:w="0"/>
        <w:jc w:val="left"/>
        <w:tblLook w:firstColumn="1" w:firstRow="1" w:lastColumn="0" w:lastRow="0" w:noHBand="0" w:noVBand="1" w:val="04A0"/>
        <w:tblW w:w="0" w:type="auto"/>
      </w:tblPr>
      <w:tblGrid>
        <w:gridCol w:w="9792"/>
      </w:tblGrid>
      <w:tr>
        <w:tc>
          <w:tcPr>
            <w:tcW w:type="dxa" w:w="9792"/>
            <w:shd w:val="clear" w:color="auto" w:fill="1A2E4A"/>
          </w:tcPr>
          <w:p>
            <w:pPr>
              <w:spacing w:before="80" w:after="80"/>
              <w:ind w:left="144"/>
            </w:pPr>
            <w:r>
              <w:rPr>
                <w:rFonts w:ascii="Calibri" w:hAnsi="Calibri"/>
                <w:b/>
                <w:i w:val="0"/>
                <w:color w:val="FFFFFF"/>
                <w:sz w:val="24"/>
              </w:rPr>
              <w:t>SECTION 8  |  WHERE THIS GOES FROM HERE</w:t>
            </w:r>
          </w:p>
        </w:tc>
      </w:tr>
    </w:tbl>
    <w:p/>
    <w:p>
      <w:pPr>
        <w:spacing w:before="40" w:after="80"/>
      </w:pPr>
      <w:r>
        <w:rPr>
          <w:rFonts w:ascii="Calibri" w:hAnsi="Calibri"/>
          <w:b w:val="0"/>
          <w:i w:val="0"/>
          <w:color w:val="1A1A1A"/>
          <w:sz w:val="21"/>
        </w:rPr>
        <w:t>South Dakota has just given every county in the state two tools to provide genuine, lasting property tax relief. SB 245 delivers a state-level credit to every owner-occupied home. SB 96 gives county commissions the ability to shift the tax burden from homeowners to the broader economy — including the millions of tourists who visit Custer County every year.</w:t>
      </w:r>
    </w:p>
    <w:p>
      <w:pPr>
        <w:spacing w:before="40" w:after="80"/>
      </w:pPr>
      <w:r>
        <w:rPr>
          <w:rFonts w:ascii="Calibri" w:hAnsi="Calibri"/>
          <w:b w:val="0"/>
          <w:i w:val="0"/>
          <w:color w:val="1A1A1A"/>
          <w:sz w:val="21"/>
        </w:rPr>
        <w:t>The school levy is the largest piece of most Custer County property tax bills. It is funded entirely by local taxpayers. The results — while above the state average — show significant room for improvement, particularly in math. The removal of the School Resource Officer in early 2026 was a public safety decision made without public debate.</w:t>
      </w:r>
    </w:p>
    <w:p>
      <w:pPr>
        <w:spacing w:before="40" w:after="80"/>
      </w:pPr>
      <w:r>
        <w:rPr>
          <w:rFonts w:ascii="Calibri" w:hAnsi="Calibri"/>
          <w:b w:val="0"/>
          <w:i w:val="0"/>
          <w:color w:val="1A1A1A"/>
          <w:sz w:val="21"/>
        </w:rPr>
        <w:t>None of this means Custer County schools are failing. It means residents deserve a full accounting of where the money goes, honest reporting on outcomes, and a clear plan for improvement — before any conversation about asking for more.</w:t>
      </w:r>
    </w:p>
    <w:tbl>
      <w:tblPr>
        <w:tblW w:type="auto" w:w="0"/>
        <w:jc w:val="left"/>
        <w:tblLook w:firstColumn="1" w:firstRow="1" w:lastColumn="0" w:lastRow="0" w:noHBand="0" w:noVBand="1" w:val="04A0"/>
        <w:tblW w:w="0" w:type="auto"/>
      </w:tblPr>
      <w:tblGrid>
        <w:gridCol w:w="4896"/>
        <w:gridCol w:w="4896"/>
      </w:tblGrid>
      <w:tr>
        <w:trPr>
          <w:trHeight w:val="72" w:hRule="atLeast"/>
        </w:trPr>
        <w:tc>
          <w:tcPr>
            <w:tcW w:type="dxa" w:w="4896"/>
            <w:shd w:val="clear" w:color="auto" w:fill="1A2E4A"/>
            <w:tcW w:w="180" w:type="dxa"/>
          </w:tcPr>
          <w:p/>
        </w:tc>
        <w:tc>
          <w:tcPr>
            <w:tcW w:type="dxa" w:w="4896"/>
            <w:shd w:val="clear" w:color="auto" w:fill="E8EDF5"/>
          </w:tcPr>
          <w:p>
            <w:pPr>
              <w:spacing w:before="120" w:after="80"/>
              <w:ind w:left="144"/>
            </w:pPr>
            <w:r>
              <w:rPr>
                <w:rFonts w:ascii="Calibri" w:hAnsi="Calibri"/>
                <w:b w:val="0"/>
                <w:i/>
                <w:color w:val="1A2E4A"/>
                <w:sz w:val="21"/>
              </w:rPr>
              <w:t>"This is merely a band aid."</w:t>
            </w:r>
          </w:p>
          <w:p>
            <w:pPr>
              <w:spacing w:after="80"/>
              <w:ind w:left="144"/>
            </w:pPr>
            <w:r>
              <w:rPr>
                <w:rFonts w:ascii="Calibri" w:hAnsi="Calibri"/>
                <w:b w:val="0"/>
                <w:i/>
                <w:color w:val="505A68"/>
                <w:sz w:val="18"/>
              </w:rPr>
              <w:t>— Commissioner Hartman, on the county's approach to fire department funding — Custer County Commission Minutes, June 18, 2025</w:t>
            </w:r>
          </w:p>
        </w:tc>
      </w:tr>
    </w:tbl>
    <w:p/>
    <w:p>
      <w:pPr>
        <w:spacing w:before="40" w:after="80"/>
      </w:pPr>
      <w:r>
        <w:rPr>
          <w:rFonts w:ascii="Calibri" w:hAnsi="Calibri"/>
          <w:b w:val="0"/>
          <w:i w:val="0"/>
          <w:color w:val="1A1A1A"/>
          <w:sz w:val="21"/>
        </w:rPr>
        <w:t>If the commissioner's own assessment is that the current approach is a band aid, the answer is not to keep applying band aids and billing the taxpayer for each one. The answer is to use the tools the state legislature just handed you and find a permanent solution.</w:t>
      </w:r>
    </w:p>
    <w:tbl>
      <w:tblPr>
        <w:tblW w:type="auto" w:w="0"/>
        <w:jc w:val="left"/>
        <w:tblLook w:firstColumn="1" w:firstRow="1" w:lastColumn="0" w:lastRow="0" w:noHBand="0" w:noVBand="1" w:val="04A0"/>
        <w:tblW w:w="0" w:type="auto"/>
      </w:tblPr>
      <w:tblGrid>
        <w:gridCol w:w="9792"/>
      </w:tblGrid>
      <w:tr>
        <w:trPr>
          <w:trHeight w:val="172" w:hRule="exact"/>
        </w:trPr>
        <w:tc>
          <w:tcPr>
            <w:tcW w:type="dxa" w:w="9792"/>
            <w:shd w:val="clear" w:color="auto" w:fill="1A2E4A"/>
          </w:tcPr>
          <w:p>
            <w:pPr>
              <w:spacing w:before="0" w:after="0"/>
            </w:pPr>
          </w:p>
        </w:tc>
      </w:tr>
    </w:tbl>
    <w:p/>
    <w:p/>
    <w:p>
      <w:pPr>
        <w:jc w:val="center"/>
      </w:pPr>
      <w:r>
        <w:rPr>
          <w:rFonts w:ascii="Calibri" w:hAnsi="Calibri"/>
          <w:b/>
          <w:i w:val="0"/>
          <w:color w:val="1A2E4A"/>
          <w:sz w:val="22"/>
        </w:rPr>
        <w:t>You are paying for these schools. You have every right to know what you are paying for, how well it is working, and what the plan is to make it better.</w:t>
      </w:r>
    </w:p>
    <w:p/>
    <w:p>
      <w:pPr>
        <w:jc w:val="center"/>
      </w:pPr>
      <w:r>
        <w:rPr>
          <w:rFonts w:ascii="Calibri" w:hAnsi="Calibri"/>
          <w:b w:val="0"/>
          <w:i/>
          <w:color w:val="1F61AC"/>
          <w:sz w:val="20"/>
        </w:rPr>
        <w:t>Search all Custer County Commission meeting minutes — free — at  sealsd.com</w:t>
      </w:r>
    </w:p>
    <w:tbl>
      <w:tblPr>
        <w:tblW w:type="auto" w:w="0"/>
        <w:jc w:val="left"/>
        <w:tblLook w:firstColumn="1" w:firstRow="1" w:lastColumn="0" w:lastRow="0" w:noHBand="0" w:noVBand="1" w:val="04A0"/>
        <w:tblW w:w="0" w:type="auto"/>
      </w:tblPr>
      <w:tblGrid>
        <w:gridCol w:w="9792"/>
      </w:tblGrid>
      <w:tr>
        <w:trPr>
          <w:trHeight w:val="115" w:hRule="exact"/>
        </w:trPr>
        <w:tc>
          <w:tcPr>
            <w:tcW w:type="dxa" w:w="9792"/>
            <w:shd w:val="clear" w:color="auto" w:fill="1F61AC"/>
          </w:tcPr>
          <w:p>
            <w:pPr>
              <w:spacing w:before="0" w:after="0"/>
            </w:pPr>
          </w:p>
        </w:tc>
      </w:tr>
    </w:tbl>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